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Source Sans 3" w:cs="Source Sans 3" w:eastAsia="Source Sans 3" w:hAnsi="Source Sans 3"/>
          <w:b/>
          <w:bCs/>
          <w:color w:val="8A0F24"/>
          <w:sz w:val="36"/>
          <w:szCs w:val="36"/>
        </w:rPr>
        <w:t xml:space="preserve">VPAT Evaluation Guide</w:t>
      </w:r>
    </w:p>
    <w:p>
      <w:pPr>
        <w:spacing w:after="40"/>
      </w:pPr>
      <w:r>
        <w:rPr>
          <w:rFonts w:ascii="Source Sans 3" w:cs="Source Sans 3" w:eastAsia="Source Sans 3" w:hAnsi="Source Sans 3"/>
          <w:color w:val="54484A"/>
          <w:sz w:val="24"/>
          <w:szCs w:val="24"/>
        </w:rPr>
        <w:t xml:space="preserve">How to Read and Evaluate a Vendor’s Accessibility Conformance Report</w:t>
      </w:r>
    </w:p>
    <w:p>
      <w:pPr>
        <w:spacing w:after="200"/>
      </w:pPr>
      <w:r>
        <w:rPr>
          <w:rFonts w:ascii="Source Sans 3" w:cs="Source Sans 3" w:eastAsia="Source Sans 3" w:hAnsi="Source Sans 3"/>
          <w:i/>
          <w:iCs/>
          <w:color w:val="54484A"/>
          <w:sz w:val="20"/>
          <w:szCs w:val="20"/>
        </w:rPr>
        <w:t xml:space="preserve">Companion resource for Real. Relevant. Required.</w:t>
      </w:r>
    </w:p>
    <w:p>
      <w:pPr>
        <w:pBdr>
          <w:bottom w:val="single" w:color="8A0F24" w:sz="6" w:space="8"/>
        </w:pBdr>
        <w:spacing w:after="120"/>
      </w:pPr>
      <w:r>
        <w:rPr>
          <w:rFonts w:ascii="Source Sans 3" w:cs="Source Sans 3" w:eastAsia="Source Sans 3" w:hAnsi="Source Sans 3"/>
          <w:color w:val="1C1C1C"/>
          <w:sz w:val="20"/>
          <w:szCs w:val="20"/>
        </w:rPr>
        <w:t xml:space="preserve">Dr. Becky Rehorn, CPACC, CPSM  |  Accessible Organizations Group LLC</w:t>
      </w:r>
    </w:p>
    <w:p>
      <w:pPr>
        <w:spacing w:after="120" w:before="200"/>
      </w:pPr>
      <w:r>
        <w:t xml:space="preserve">This guide helps procurement officers, IT staff, and project managers evaluate a vendor’s accessibility claims when purchasing third-party platforms such as survey tools, content management systems, meeting platforms, payment processors, and citizen engagement platforms. It aligns with the vendor evaluation framework described in Chapter 8 of </w:t>
      </w:r>
      <w:r>
        <w:rPr>
          <w:i/>
          <w:iCs/>
        </w:rPr>
        <w:t xml:space="preserve">Real. Relevant. Required.</w:t>
      </w:r>
      <w:r>
        <w:t xml:space="preserve">.</w:t>
      </w:r>
    </w:p>
    <w:p>
      <w:pPr>
        <w:pStyle w:val="Heading1"/>
      </w:pPr>
      <w:r>
        <w:t xml:space="preserve">1. What Is a VPAT?</w:t>
      </w:r>
    </w:p>
    <w:p>
      <w:pPr>
        <w:spacing w:after="120"/>
      </w:pPr>
      <w:r>
        <w:t xml:space="preserve">A Voluntary Product Accessibility Template (VPAT) is a standardized document, published by the Information Technology Industry Council (ITI), that vendors use to report how their product conforms to accessibility standards. The completed document is technically called an Accessibility Conformance Report (ACR). In practice, most people use “VPAT” for both the blank template and the completed report.</w:t>
      </w:r>
    </w:p>
    <w:p>
      <w:pPr>
        <w:spacing w:after="120"/>
      </w:pPr>
      <w:r>
        <w:t xml:space="preserve">The current version is VPAT 2.5, available in four editions. For ADA Title II purposes, the edition most relevant to your evaluation is the </w:t>
      </w:r>
      <w:r>
        <w:rPr>
          <w:b/>
          <w:bCs/>
        </w:rPr>
        <w:t xml:space="preserve">WCAG edition</w:t>
      </w:r>
      <w:r>
        <w:t xml:space="preserve">, which reports conformance against WCAG 2.0, 2.1, or 2.2. Some vendors provide the </w:t>
      </w:r>
      <w:r>
        <w:rPr>
          <w:b/>
          <w:bCs/>
        </w:rPr>
        <w:t xml:space="preserve">508 edition</w:t>
      </w:r>
      <w:r>
        <w:t xml:space="preserve"> (which includes WCAG plus Section 508-specific criteria) or the </w:t>
      </w:r>
      <w:r>
        <w:rPr>
          <w:b/>
          <w:bCs/>
        </w:rPr>
        <w:t xml:space="preserve">International edition</w:t>
      </w:r>
      <w:r>
        <w:t xml:space="preserve"> (which covers WCAG, Section 508, and the European EN 301 549 standard). Any of these editions will contain the WCAG conformance information you need.</w:t>
      </w:r>
    </w:p>
    <w:p>
      <w:pPr>
        <w:pStyle w:val="Heading1"/>
      </w:pPr>
      <w:r>
        <w:t xml:space="preserve">2. Three Things to Know Before You Read One</w:t>
      </w:r>
    </w:p>
    <w:p>
      <w:pPr>
        <w:spacing w:after="120"/>
      </w:pPr>
      <w:r>
        <w:rPr>
          <w:b/>
          <w:bCs/>
        </w:rPr>
        <w:t xml:space="preserve">VPATs are self-reported. </w:t>
      </w:r>
      <w:r>
        <w:t xml:space="preserve">The vendor completes the template based on its own testing. There is no independent certification body that validates the claims. A VPAT that reports full conformance is the vendor’s assertion, not proof.</w:t>
      </w:r>
    </w:p>
    <w:p>
      <w:pPr>
        <w:spacing w:after="120"/>
      </w:pPr>
      <w:r>
        <w:rPr>
          <w:b/>
          <w:bCs/>
        </w:rPr>
        <w:t xml:space="preserve">VPATs are point-in-time documents. </w:t>
      </w:r>
      <w:r>
        <w:t xml:space="preserve">A VPAT completed six months ago may not reflect a product that has been updated since the evaluation. Always check the report date and the product version it covers.</w:t>
      </w:r>
    </w:p>
    <w:p>
      <w:pPr>
        <w:spacing w:after="120"/>
      </w:pPr>
      <w:r>
        <w:rPr>
          <w:b/>
          <w:bCs/>
        </w:rPr>
        <w:t xml:space="preserve">A missing VPAT is a red flag. </w:t>
      </w:r>
      <w:r>
        <w:t xml:space="preserve">A vendor that cannot produce a VPAT at all is a vendor whose product has either not been evaluated for accessibility or whose evaluation produced results the vendor prefers not to share. Either condition is a procurement risk.</w:t>
      </w:r>
    </w:p>
    <w:p>
      <w:pPr>
        <w:pStyle w:val="Heading1"/>
      </w:pPr>
      <w:r>
        <w:t xml:space="preserve">3. What’s Inside a VPAT</w:t>
      </w:r>
    </w:p>
    <w:p>
      <w:pPr>
        <w:spacing w:after="120"/>
      </w:pPr>
      <w:r>
        <w:t xml:space="preserve">A completed VPAT has two main sections.</w:t>
      </w:r>
    </w:p>
    <w:p>
      <w:pPr>
        <w:pStyle w:val="Heading2"/>
      </w:pPr>
      <w:r>
        <w:t xml:space="preserve">Product Information Page</w:t>
      </w:r>
    </w:p>
    <w:p>
      <w:pPr>
        <w:spacing w:after="80"/>
      </w:pPr>
      <w:r>
        <w:t xml:space="preserve">This front page identifies the product, the vendor, the report date, and the evaluation methods used. Check for the following.</w:t>
      </w:r>
    </w:p>
    <w:p>
      <w:pPr>
        <w:pStyle w:val="ListParagraph"/>
        <w:numPr>
          <w:ilvl w:val="0"/>
          <w:numId w:val="2"/>
        </w:numPr>
        <w:spacing w:after="60"/>
      </w:pPr>
      <w:r>
        <w:rPr>
          <w:sz w:val="21"/>
          <w:szCs w:val="21"/>
        </w:rPr>
        <w:t xml:space="preserve">Product name and version: Does it match the version you are evaluating or purchasing?</w:t>
      </w:r>
    </w:p>
    <w:p>
      <w:pPr>
        <w:pStyle w:val="ListParagraph"/>
        <w:numPr>
          <w:ilvl w:val="0"/>
          <w:numId w:val="2"/>
        </w:numPr>
        <w:spacing w:after="60"/>
      </w:pPr>
      <w:r>
        <w:rPr>
          <w:sz w:val="21"/>
          <w:szCs w:val="21"/>
        </w:rPr>
        <w:t xml:space="preserve">Report date: How recent is the evaluation? A VPAT older than 12 months should prompt a request for an updated version.</w:t>
      </w:r>
    </w:p>
    <w:p>
      <w:pPr>
        <w:pStyle w:val="ListParagraph"/>
        <w:numPr>
          <w:ilvl w:val="0"/>
          <w:numId w:val="2"/>
        </w:numPr>
        <w:spacing w:after="60"/>
      </w:pPr>
      <w:r>
        <w:rPr>
          <w:sz w:val="21"/>
          <w:szCs w:val="21"/>
        </w:rPr>
        <w:t xml:space="preserve">Evaluation methods: Did the vendor use automated tools only, manual testing, assistive technology testing, or a combination? Automated-only evaluations miss the majority of accessibility issues.</w:t>
      </w:r>
    </w:p>
    <w:p>
      <w:pPr>
        <w:pStyle w:val="ListParagraph"/>
        <w:numPr>
          <w:ilvl w:val="0"/>
          <w:numId w:val="2"/>
        </w:numPr>
        <w:spacing w:after="60"/>
      </w:pPr>
      <w:r>
        <w:rPr>
          <w:sz w:val="21"/>
          <w:szCs w:val="21"/>
        </w:rPr>
        <w:t xml:space="preserve">Contact information: Is there a named contact for accessibility questions?</w:t>
      </w:r>
    </w:p>
    <w:p>
      <w:pPr>
        <w:pStyle w:val="Heading2"/>
      </w:pPr>
      <w:r>
        <w:t xml:space="preserve">Conformance Tables</w:t>
      </w:r>
    </w:p>
    <w:p>
      <w:pPr>
        <w:spacing w:after="120"/>
      </w:pPr>
      <w:r>
        <w:t xml:space="preserve">The conformance tables are the core of the VPAT. For WCAG 2.1 Level AA evaluation, you will review two tables: Table 1 (Level A success criteria) and Table 2 (Level AA success criteria). Each row lists a WCAG success criterion and reports the vendor’s conformance using one of four standard terms.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1"/>
              <w:left w:val="single" w:color="CCCCCC" w:sz="1"/>
              <w:bottom w:val="single" w:color="CCCCCC" w:sz="1"/>
              <w:right w:val="single" w:color="CCCCCC" w:sz="1"/>
            </w:tcBorders>
            <w:shd w:fill="8A0F24" w:val="clear"/>
            <w:tcMar>
              <w:top w:type="dxa" w:w="60"/>
              <w:left w:type="dxa" w:w="100"/>
              <w:bottom w:type="dxa" w:w="60"/>
              <w:right w:type="dxa" w:w="100"/>
            </w:tcMar>
          </w:tcPr>
          <w:p>
            <w:pPr>
              <w:jc w:val="center"/>
            </w:pPr>
            <w:r>
              <w:rPr>
                <w:rFonts w:ascii="Source Sans 3" w:cs="Source Sans 3" w:eastAsia="Source Sans 3" w:hAnsi="Source Sans 3"/>
                <w:b/>
                <w:bCs/>
                <w:color w:val="FFFFFF"/>
                <w:sz w:val="20"/>
                <w:szCs w:val="20"/>
              </w:rPr>
              <w:t xml:space="preserve">Conformance Level</w:t>
            </w:r>
          </w:p>
        </w:tc>
        <w:tc>
          <w:tcPr>
            <w:tcW w:type="dxa" w:w="7160"/>
            <w:tcBorders>
              <w:top w:val="single" w:color="CCCCCC" w:sz="1"/>
              <w:left w:val="single" w:color="CCCCCC" w:sz="1"/>
              <w:bottom w:val="single" w:color="CCCCCC" w:sz="1"/>
              <w:right w:val="single" w:color="CCCCCC" w:sz="1"/>
            </w:tcBorders>
            <w:shd w:fill="8A0F24" w:val="clear"/>
            <w:tcMar>
              <w:top w:type="dxa" w:w="60"/>
              <w:left w:type="dxa" w:w="100"/>
              <w:bottom w:type="dxa" w:w="60"/>
              <w:right w:type="dxa" w:w="100"/>
            </w:tcMar>
          </w:tcPr>
          <w:p>
            <w:pPr>
              <w:jc w:val="center"/>
            </w:pPr>
            <w:r>
              <w:rPr>
                <w:rFonts w:ascii="Source Sans 3" w:cs="Source Sans 3" w:eastAsia="Source Sans 3" w:hAnsi="Source Sans 3"/>
                <w:b/>
                <w:bCs/>
                <w:color w:val="FFFFFF"/>
                <w:sz w:val="20"/>
                <w:szCs w:val="20"/>
              </w:rPr>
              <w:t xml:space="preserve">What It Means</w:t>
            </w:r>
          </w:p>
        </w:tc>
      </w:tr>
      <w:tr>
        <w:tc>
          <w:tcPr>
            <w:tcW w:type="dxa" w:w="22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b/>
                <w:bCs/>
                <w:color w:val="1C1C1C"/>
                <w:sz w:val="20"/>
                <w:szCs w:val="20"/>
              </w:rPr>
              <w:t xml:space="preserve">Supports</w:t>
            </w:r>
          </w:p>
        </w:tc>
        <w:tc>
          <w:tcPr>
            <w:tcW w:type="dxa" w:w="7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b w:val="false"/>
                <w:bCs w:val="false"/>
                <w:color w:val="1C1C1C"/>
                <w:sz w:val="20"/>
                <w:szCs w:val="20"/>
              </w:rPr>
              <w:t xml:space="preserve">The product fully meets this criterion. No known issues.</w:t>
            </w:r>
          </w:p>
        </w:tc>
      </w:tr>
      <w:tr>
        <w:tc>
          <w:tcPr>
            <w:tcW w:type="dxa" w:w="2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color w:val="1C1C1C"/>
                <w:sz w:val="20"/>
                <w:szCs w:val="20"/>
              </w:rPr>
              <w:t xml:space="preserve">Partially Supports</w:t>
            </w:r>
          </w:p>
        </w:tc>
        <w:tc>
          <w:tcPr>
            <w:tcW w:type="dxa" w:w="716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color w:val="1C1C1C"/>
                <w:sz w:val="20"/>
                <w:szCs w:val="20"/>
              </w:rPr>
              <w:t xml:space="preserve">The product meets this criterion in some areas but not all. The Remarks column should explain what does and does not work.</w:t>
            </w:r>
          </w:p>
        </w:tc>
      </w:tr>
      <w:tr>
        <w:tc>
          <w:tcPr>
            <w:tcW w:type="dxa" w:w="22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b/>
                <w:bCs/>
                <w:color w:val="1C1C1C"/>
                <w:sz w:val="20"/>
                <w:szCs w:val="20"/>
              </w:rPr>
              <w:t xml:space="preserve">Does Not Support</w:t>
            </w:r>
          </w:p>
        </w:tc>
        <w:tc>
          <w:tcPr>
            <w:tcW w:type="dxa" w:w="7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b w:val="false"/>
                <w:bCs w:val="false"/>
                <w:color w:val="1C1C1C"/>
                <w:sz w:val="20"/>
                <w:szCs w:val="20"/>
              </w:rPr>
              <w:t xml:space="preserve">The product does not meet this criterion. The Remarks column should explain the gap.</w:t>
            </w:r>
          </w:p>
        </w:tc>
      </w:tr>
      <w:tr>
        <w:tc>
          <w:tcPr>
            <w:tcW w:type="dxa" w:w="2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color w:val="1C1C1C"/>
                <w:sz w:val="20"/>
                <w:szCs w:val="20"/>
              </w:rPr>
              <w:t xml:space="preserve">Not Applicable</w:t>
            </w:r>
          </w:p>
        </w:tc>
        <w:tc>
          <w:tcPr>
            <w:tcW w:type="dxa" w:w="716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color w:val="1C1C1C"/>
                <w:sz w:val="20"/>
                <w:szCs w:val="20"/>
              </w:rPr>
              <w:t xml:space="preserve">The criterion does not apply to this product (e.g., a text-only product reporting on audio criteria).</w:t>
            </w:r>
          </w:p>
        </w:tc>
      </w:tr>
    </w:tbl>
    <w:p>
      <w:pPr>
        <w:spacing w:after="120" w:before="160"/>
      </w:pPr>
      <w:r>
        <w:rPr>
          <w:b/>
          <w:bCs/>
        </w:rPr>
        <w:t xml:space="preserve">The critical column is Remarks and Explanations. </w:t>
      </w:r>
      <w:r>
        <w:t xml:space="preserve">A VPAT that marks criteria as “Partially Supports” without explaining what works and what does not is not useful for evaluation. The remarks are where you learn whether the gap affects your use case.</w:t>
      </w:r>
    </w:p>
    <w:p>
      <w:pPr>
        <w:pStyle w:val="Heading1"/>
      </w:pPr>
      <w:r>
        <w:t xml:space="preserve">4. How to Evaluate a VPAT in 30 Minutes</w:t>
      </w:r>
    </w:p>
    <w:p>
      <w:pPr>
        <w:spacing w:after="120"/>
      </w:pPr>
      <w:r>
        <w:t xml:space="preserve">You do not need to be an accessibility specialist to conduct a useful VPAT evaluation. Follow these steps.</w:t>
      </w:r>
    </w:p>
    <w:p>
      <w:pPr>
        <w:pStyle w:val="Heading2"/>
      </w:pPr>
      <w:r>
        <w:t xml:space="preserve">Step 1: Check the basics (5 minutes)</w:t>
      </w:r>
    </w:p>
    <w:p>
      <w:pPr>
        <w:pStyle w:val="ListParagraph"/>
        <w:numPr>
          <w:ilvl w:val="0"/>
          <w:numId w:val="2"/>
        </w:numPr>
        <w:spacing w:after="60"/>
      </w:pPr>
      <w:r>
        <w:rPr>
          <w:sz w:val="21"/>
          <w:szCs w:val="21"/>
        </w:rPr>
        <w:t xml:space="preserve">Is the product name and version correct for what you are purchasing?</w:t>
      </w:r>
    </w:p>
    <w:p>
      <w:pPr>
        <w:pStyle w:val="ListParagraph"/>
        <w:numPr>
          <w:ilvl w:val="0"/>
          <w:numId w:val="2"/>
        </w:numPr>
        <w:spacing w:after="60"/>
      </w:pPr>
      <w:r>
        <w:rPr>
          <w:sz w:val="21"/>
          <w:szCs w:val="21"/>
        </w:rPr>
        <w:t xml:space="preserve">Is the report date within the past 12 months?</w:t>
      </w:r>
    </w:p>
    <w:p>
      <w:pPr>
        <w:pStyle w:val="ListParagraph"/>
        <w:numPr>
          <w:ilvl w:val="0"/>
          <w:numId w:val="2"/>
        </w:numPr>
        <w:spacing w:after="60"/>
      </w:pPr>
      <w:r>
        <w:rPr>
          <w:sz w:val="21"/>
          <w:szCs w:val="21"/>
        </w:rPr>
        <w:t xml:space="preserve">Does the report cover WCAG 2.1 (the standard required by the Title II rule)?</w:t>
      </w:r>
    </w:p>
    <w:p>
      <w:pPr>
        <w:pStyle w:val="ListParagraph"/>
        <w:numPr>
          <w:ilvl w:val="0"/>
          <w:numId w:val="2"/>
        </w:numPr>
        <w:spacing w:after="60"/>
      </w:pPr>
      <w:r>
        <w:rPr>
          <w:sz w:val="21"/>
          <w:szCs w:val="21"/>
        </w:rPr>
        <w:t xml:space="preserve">Were evaluation methods described, and do they include manual testing?</w:t>
      </w:r>
    </w:p>
    <w:p>
      <w:pPr>
        <w:pStyle w:val="Heading2"/>
      </w:pPr>
      <w:r>
        <w:t xml:space="preserve">Step 2: Scan for “Does Not Support” (5 minutes)</w:t>
      </w:r>
    </w:p>
    <w:p>
      <w:pPr>
        <w:spacing w:after="80"/>
      </w:pPr>
      <w:r>
        <w:t xml:space="preserve">Look through both Table 1 (Level A) and Table 2 (Level AA) for any criteria marked “Does Not Support.” These are known failures. For each one, read the Remarks column and ask: does this failure affect how members of the public will use this platform? The following criteria are the highest-impact items to check first.</w:t>
      </w:r>
    </w:p>
    <w:p>
      <w:pPr>
        <w:pStyle w:val="ListParagraph"/>
        <w:numPr>
          <w:ilvl w:val="0"/>
          <w:numId w:val="3"/>
        </w:numPr>
        <w:spacing w:after="40"/>
      </w:pPr>
      <w:r>
        <w:rPr>
          <w:sz w:val="21"/>
          <w:szCs w:val="21"/>
        </w:rPr>
        <w:t xml:space="preserve">1.1.1 Non-text Content (images without alt text)</w:t>
      </w:r>
    </w:p>
    <w:p>
      <w:pPr>
        <w:pStyle w:val="ListParagraph"/>
        <w:numPr>
          <w:ilvl w:val="0"/>
          <w:numId w:val="3"/>
        </w:numPr>
        <w:spacing w:after="40"/>
      </w:pPr>
      <w:r>
        <w:rPr>
          <w:sz w:val="21"/>
          <w:szCs w:val="21"/>
        </w:rPr>
        <w:t xml:space="preserve">1.3.1 Info and Relationships (form labels, headings, tables)</w:t>
      </w:r>
    </w:p>
    <w:p>
      <w:pPr>
        <w:pStyle w:val="ListParagraph"/>
        <w:numPr>
          <w:ilvl w:val="0"/>
          <w:numId w:val="3"/>
        </w:numPr>
        <w:spacing w:after="40"/>
      </w:pPr>
      <w:r>
        <w:rPr>
          <w:sz w:val="21"/>
          <w:szCs w:val="21"/>
        </w:rPr>
        <w:t xml:space="preserve">2.1.1 Keyboard (can users navigate without a mouse?)</w:t>
      </w:r>
    </w:p>
    <w:p>
      <w:pPr>
        <w:pStyle w:val="ListParagraph"/>
        <w:numPr>
          <w:ilvl w:val="0"/>
          <w:numId w:val="3"/>
        </w:numPr>
        <w:spacing w:after="40"/>
      </w:pPr>
      <w:r>
        <w:rPr>
          <w:sz w:val="21"/>
          <w:szCs w:val="21"/>
        </w:rPr>
        <w:t xml:space="preserve">2.4.3 Focus Order (does keyboard navigation follow a logical sequence?)</w:t>
      </w:r>
    </w:p>
    <w:p>
      <w:pPr>
        <w:pStyle w:val="ListParagraph"/>
        <w:numPr>
          <w:ilvl w:val="0"/>
          <w:numId w:val="3"/>
        </w:numPr>
        <w:spacing w:after="40"/>
      </w:pPr>
      <w:r>
        <w:rPr>
          <w:sz w:val="21"/>
          <w:szCs w:val="21"/>
        </w:rPr>
        <w:t xml:space="preserve">3.3.1 Error Identification (are form errors clearly described?)</w:t>
      </w:r>
    </w:p>
    <w:p>
      <w:pPr>
        <w:pStyle w:val="ListParagraph"/>
        <w:numPr>
          <w:ilvl w:val="0"/>
          <w:numId w:val="3"/>
        </w:numPr>
        <w:spacing w:after="40"/>
      </w:pPr>
      <w:r>
        <w:rPr>
          <w:sz w:val="21"/>
          <w:szCs w:val="21"/>
        </w:rPr>
        <w:t xml:space="preserve">3.3.2 Labels or Instructions (are form fields labeled?)</w:t>
      </w:r>
    </w:p>
    <w:p>
      <w:pPr>
        <w:pStyle w:val="ListParagraph"/>
        <w:numPr>
          <w:ilvl w:val="0"/>
          <w:numId w:val="3"/>
        </w:numPr>
        <w:spacing w:after="40"/>
      </w:pPr>
      <w:r>
        <w:rPr>
          <w:sz w:val="21"/>
          <w:szCs w:val="21"/>
        </w:rPr>
        <w:t xml:space="preserve">4.1.2 Name, Role, Value (do interactive elements work with screen readers?)</w:t>
      </w:r>
    </w:p>
    <w:p>
      <w:pPr>
        <w:pStyle w:val="Heading2"/>
      </w:pPr>
      <w:r>
        <w:t xml:space="preserve">Step 3: Evaluate “Partially Supports” claims (10 minutes)</w:t>
      </w:r>
    </w:p>
    <w:p>
      <w:pPr>
        <w:spacing w:after="80"/>
      </w:pPr>
      <w:r>
        <w:t xml:space="preserve">“Partially Supports” is the most common entry in a typical VPAT, and it is the one that requires the most interpretation. For each “Partially Supports” entry, check the Remarks column.</w:t>
      </w:r>
    </w:p>
    <w:p>
      <w:pPr>
        <w:pStyle w:val="ListParagraph"/>
        <w:numPr>
          <w:ilvl w:val="0"/>
          <w:numId w:val="2"/>
        </w:numPr>
        <w:spacing w:after="60"/>
      </w:pPr>
      <w:r>
        <w:rPr>
          <w:sz w:val="21"/>
          <w:szCs w:val="21"/>
        </w:rPr>
        <w:t xml:space="preserve">Does the remark explain specifically what works and what does not?</w:t>
      </w:r>
    </w:p>
    <w:p>
      <w:pPr>
        <w:pStyle w:val="ListParagraph"/>
        <w:numPr>
          <w:ilvl w:val="0"/>
          <w:numId w:val="2"/>
        </w:numPr>
        <w:spacing w:after="60"/>
      </w:pPr>
      <w:r>
        <w:rPr>
          <w:sz w:val="21"/>
          <w:szCs w:val="21"/>
        </w:rPr>
        <w:t xml:space="preserve">Does the gap affect the features your entity and the public will use?</w:t>
      </w:r>
    </w:p>
    <w:p>
      <w:pPr>
        <w:pStyle w:val="ListParagraph"/>
        <w:numPr>
          <w:ilvl w:val="0"/>
          <w:numId w:val="2"/>
        </w:numPr>
        <w:spacing w:after="60"/>
      </w:pPr>
      <w:r>
        <w:rPr>
          <w:sz w:val="21"/>
          <w:szCs w:val="21"/>
        </w:rPr>
        <w:t xml:space="preserve">Is the vendor describing a minor edge case, or a core workflow that fails?</w:t>
      </w:r>
    </w:p>
    <w:p>
      <w:pPr>
        <w:pStyle w:val="ListParagraph"/>
        <w:numPr>
          <w:ilvl w:val="0"/>
          <w:numId w:val="2"/>
        </w:numPr>
        <w:spacing w:after="60"/>
      </w:pPr>
      <w:r>
        <w:rPr>
          <w:sz w:val="21"/>
          <w:szCs w:val="21"/>
        </w:rPr>
        <w:t xml:space="preserve">Is there a stated remediation timeline or roadmap reference?</w:t>
      </w:r>
    </w:p>
    <w:p>
      <w:pPr>
        <w:spacing w:after="120"/>
      </w:pPr>
      <w:r>
        <w:t xml:space="preserve">A “Partially Supports” entry with no explanation is functionally the same as a blank: it tells you there is a gap but gives you nothing to evaluate.</w:t>
      </w:r>
    </w:p>
    <w:p>
      <w:pPr>
        <w:pStyle w:val="Heading2"/>
      </w:pPr>
      <w:r>
        <w:t xml:space="preserve">Step 4: Conduct a brief hands-on check (10 minutes)</w:t>
      </w:r>
    </w:p>
    <w:p>
      <w:pPr>
        <w:spacing w:after="80"/>
      </w:pPr>
      <w:r>
        <w:t xml:space="preserve">Even ten minutes of hands-on testing is more informative than the VPAT alone. If you have access to a demo or trial of the platform, check the following.</w:t>
      </w:r>
    </w:p>
    <w:p>
      <w:pPr>
        <w:pStyle w:val="ListParagraph"/>
        <w:numPr>
          <w:ilvl w:val="0"/>
          <w:numId w:val="2"/>
        </w:numPr>
        <w:spacing w:after="60"/>
      </w:pPr>
      <w:r>
        <w:rPr>
          <w:sz w:val="21"/>
          <w:szCs w:val="21"/>
        </w:rPr>
        <w:t xml:space="preserve">Can you Tab through the main interface without a mouse? Does the focus indicator move in a logical order?</w:t>
      </w:r>
    </w:p>
    <w:p>
      <w:pPr>
        <w:pStyle w:val="ListParagraph"/>
        <w:numPr>
          <w:ilvl w:val="0"/>
          <w:numId w:val="2"/>
        </w:numPr>
        <w:spacing w:after="60"/>
      </w:pPr>
      <w:r>
        <w:rPr>
          <w:sz w:val="21"/>
          <w:szCs w:val="21"/>
        </w:rPr>
        <w:t xml:space="preserve">Can you complete the primary user task (submit a comment, fill a form, make a payment) using only the keyboard?</w:t>
      </w:r>
    </w:p>
    <w:p>
      <w:pPr>
        <w:pStyle w:val="ListParagraph"/>
        <w:numPr>
          <w:ilvl w:val="0"/>
          <w:numId w:val="2"/>
        </w:numPr>
        <w:spacing w:after="60"/>
      </w:pPr>
      <w:r>
        <w:rPr>
          <w:sz w:val="21"/>
          <w:szCs w:val="21"/>
        </w:rPr>
        <w:t xml:space="preserve">Do images have alt text? (Right-click an image and check, or use a browser extension like axe DevTools.)</w:t>
      </w:r>
    </w:p>
    <w:p>
      <w:pPr>
        <w:pStyle w:val="ListParagraph"/>
        <w:numPr>
          <w:ilvl w:val="0"/>
          <w:numId w:val="2"/>
        </w:numPr>
        <w:spacing w:after="60"/>
      </w:pPr>
      <w:r>
        <w:rPr>
          <w:sz w:val="21"/>
          <w:szCs w:val="21"/>
        </w:rPr>
        <w:t xml:space="preserve">Are form fields labeled? (Click on the label text. If the cursor moves to the field, the label is properly associated.)</w:t>
      </w:r>
    </w:p>
    <w:p>
      <w:pPr>
        <w:pStyle w:val="Heading1"/>
      </w:pPr>
      <w:r>
        <w:t xml:space="preserve">5. Red Flags</w:t>
      </w:r>
    </w:p>
    <w:p>
      <w:pPr>
        <w:spacing w:after="80"/>
      </w:pPr>
      <w:r>
        <w:t xml:space="preserve">The following indicators suggest the VPAT should not be accepted at face value.</w:t>
      </w:r>
    </w:p>
    <w:p>
      <w:pPr>
        <w:pStyle w:val="ListParagraph"/>
        <w:numPr>
          <w:ilvl w:val="0"/>
          <w:numId w:val="3"/>
        </w:numPr>
        <w:spacing w:after="80"/>
      </w:pPr>
      <w:r>
        <w:rPr>
          <w:sz w:val="21"/>
          <w:szCs w:val="21"/>
        </w:rPr>
        <w:t xml:space="preserve">No VPAT available at all. The vendor has not evaluated its product or is unwilling to share results.</w:t>
      </w:r>
    </w:p>
    <w:p>
      <w:pPr>
        <w:pStyle w:val="ListParagraph"/>
        <w:numPr>
          <w:ilvl w:val="0"/>
          <w:numId w:val="3"/>
        </w:numPr>
        <w:spacing w:after="80"/>
      </w:pPr>
      <w:r>
        <w:rPr>
          <w:sz w:val="21"/>
          <w:szCs w:val="21"/>
        </w:rPr>
        <w:t xml:space="preserve">Report is more than 18 months old, or the product version in the report does not match the current product.</w:t>
      </w:r>
    </w:p>
    <w:p>
      <w:pPr>
        <w:pStyle w:val="ListParagraph"/>
        <w:numPr>
          <w:ilvl w:val="0"/>
          <w:numId w:val="3"/>
        </w:numPr>
        <w:spacing w:after="80"/>
      </w:pPr>
      <w:r>
        <w:rPr>
          <w:sz w:val="21"/>
          <w:szCs w:val="21"/>
        </w:rPr>
        <w:t xml:space="preserve">Every criterion is marked “Supports” with no remarks. A product with zero accessibility issues across all criteria is rare. A VPAT with no qualifications may reflect superficial evaluation.</w:t>
      </w:r>
    </w:p>
    <w:p>
      <w:pPr>
        <w:pStyle w:val="ListParagraph"/>
        <w:numPr>
          <w:ilvl w:val="0"/>
          <w:numId w:val="3"/>
        </w:numPr>
        <w:spacing w:after="80"/>
      </w:pPr>
      <w:r>
        <w:rPr>
          <w:sz w:val="21"/>
          <w:szCs w:val="21"/>
        </w:rPr>
        <w:t xml:space="preserve">Evaluation methods list only automated tools. Automated tools catch a fraction of WCAG issues. A credible evaluation includes manual testing.</w:t>
      </w:r>
    </w:p>
    <w:p>
      <w:pPr>
        <w:pStyle w:val="ListParagraph"/>
        <w:numPr>
          <w:ilvl w:val="0"/>
          <w:numId w:val="3"/>
        </w:numPr>
        <w:spacing w:after="80"/>
      </w:pPr>
      <w:r>
        <w:rPr>
          <w:sz w:val="21"/>
          <w:szCs w:val="21"/>
        </w:rPr>
        <w:t xml:space="preserve">“Partially Supports” entries with no explanation in the Remarks column. Without specifics, the entry is not evaluable.</w:t>
      </w:r>
    </w:p>
    <w:p>
      <w:pPr>
        <w:pStyle w:val="ListParagraph"/>
        <w:numPr>
          <w:ilvl w:val="0"/>
          <w:numId w:val="3"/>
        </w:numPr>
        <w:spacing w:after="80"/>
      </w:pPr>
      <w:r>
        <w:rPr>
          <w:sz w:val="21"/>
          <w:szCs w:val="21"/>
        </w:rPr>
        <w:t xml:space="preserve">The vendor cannot name the person or team who conducted the evaluation, or cannot describe the testing methodology on request.</w:t>
      </w:r>
    </w:p>
    <w:p>
      <w:pPr>
        <w:pStyle w:val="ListParagraph"/>
        <w:numPr>
          <w:ilvl w:val="0"/>
          <w:numId w:val="3"/>
        </w:numPr>
        <w:spacing w:after="80"/>
      </w:pPr>
      <w:r>
        <w:rPr>
          <w:sz w:val="21"/>
          <w:szCs w:val="21"/>
        </w:rPr>
        <w:t xml:space="preserve">The vendor claims the product is “ADA compliant” or “fully accessible” without reference to a specific WCAG version and level. These are marketing terms, not conformance claims.</w:t>
      </w:r>
    </w:p>
    <w:p>
      <w:pPr>
        <w:pStyle w:val="Heading1"/>
      </w:pPr>
      <w:r>
        <w:t xml:space="preserve">6. Questions to Ask the Vendor</w:t>
      </w:r>
    </w:p>
    <w:p>
      <w:pPr>
        <w:spacing w:after="80"/>
      </w:pPr>
      <w:r>
        <w:t xml:space="preserve">Use these questions during vendor demos, RFP evaluations, or procurement conversations.</w:t>
      </w:r>
    </w:p>
    <w:p>
      <w:pPr>
        <w:pStyle w:val="ListParagraph"/>
        <w:numPr>
          <w:ilvl w:val="0"/>
          <w:numId w:val="4"/>
        </w:numPr>
        <w:spacing w:after="80"/>
      </w:pPr>
      <w:r>
        <w:rPr>
          <w:sz w:val="21"/>
          <w:szCs w:val="21"/>
        </w:rPr>
        <w:t xml:space="preserve">Can you provide a current VPAT or Accessibility Conformance Report for the version of the product we are evaluating?</w:t>
      </w:r>
    </w:p>
    <w:p>
      <w:pPr>
        <w:pStyle w:val="ListParagraph"/>
        <w:numPr>
          <w:ilvl w:val="0"/>
          <w:numId w:val="4"/>
        </w:numPr>
        <w:spacing w:after="80"/>
      </w:pPr>
      <w:r>
        <w:rPr>
          <w:sz w:val="21"/>
          <w:szCs w:val="21"/>
        </w:rPr>
        <w:t xml:space="preserve">What version of WCAG does your evaluation cover, and at what conformance level?</w:t>
      </w:r>
    </w:p>
    <w:p>
      <w:pPr>
        <w:pStyle w:val="ListParagraph"/>
        <w:numPr>
          <w:ilvl w:val="0"/>
          <w:numId w:val="4"/>
        </w:numPr>
        <w:spacing w:after="80"/>
      </w:pPr>
      <w:r>
        <w:rPr>
          <w:sz w:val="21"/>
          <w:szCs w:val="21"/>
        </w:rPr>
        <w:t xml:space="preserve">Who conducted the evaluation? Was it an internal team, a third-party auditor, or a combination?</w:t>
      </w:r>
    </w:p>
    <w:p>
      <w:pPr>
        <w:pStyle w:val="ListParagraph"/>
        <w:numPr>
          <w:ilvl w:val="0"/>
          <w:numId w:val="4"/>
        </w:numPr>
        <w:spacing w:after="80"/>
      </w:pPr>
      <w:r>
        <w:rPr>
          <w:sz w:val="21"/>
          <w:szCs w:val="21"/>
        </w:rPr>
        <w:t xml:space="preserve">What testing methods were used? Did the evaluation include manual testing and testing with assistive technology (screen readers, keyboard-only navigation)?</w:t>
      </w:r>
    </w:p>
    <w:p>
      <w:pPr>
        <w:pStyle w:val="ListParagraph"/>
        <w:numPr>
          <w:ilvl w:val="0"/>
          <w:numId w:val="4"/>
        </w:numPr>
        <w:spacing w:after="80"/>
      </w:pPr>
      <w:r>
        <w:rPr>
          <w:sz w:val="21"/>
          <w:szCs w:val="21"/>
        </w:rPr>
        <w:t xml:space="preserve">For criteria marked “Partially Supports,” can you describe the specific gaps and whether they affect the features our entity and the public will use?</w:t>
      </w:r>
    </w:p>
    <w:p>
      <w:pPr>
        <w:pStyle w:val="ListParagraph"/>
        <w:numPr>
          <w:ilvl w:val="0"/>
          <w:numId w:val="4"/>
        </w:numPr>
        <w:spacing w:after="80"/>
      </w:pPr>
      <w:r>
        <w:rPr>
          <w:sz w:val="21"/>
          <w:szCs w:val="21"/>
        </w:rPr>
        <w:t xml:space="preserve">Do you have a remediation roadmap for known accessibility issues? What is the expected timeline for resolution?</w:t>
      </w:r>
    </w:p>
    <w:p>
      <w:pPr>
        <w:pStyle w:val="ListParagraph"/>
        <w:numPr>
          <w:ilvl w:val="0"/>
          <w:numId w:val="4"/>
        </w:numPr>
        <w:spacing w:after="80"/>
      </w:pPr>
      <w:r>
        <w:rPr>
          <w:sz w:val="21"/>
          <w:szCs w:val="21"/>
        </w:rPr>
        <w:t xml:space="preserve">How do you ensure accessibility is maintained when the product is updated? Do you conduct accessibility regression testing on new releases?</w:t>
      </w:r>
    </w:p>
    <w:p>
      <w:pPr>
        <w:pStyle w:val="ListParagraph"/>
        <w:numPr>
          <w:ilvl w:val="0"/>
          <w:numId w:val="4"/>
        </w:numPr>
        <w:spacing w:after="80"/>
      </w:pPr>
      <w:r>
        <w:rPr>
          <w:sz w:val="21"/>
          <w:szCs w:val="21"/>
        </w:rPr>
        <w:t xml:space="preserve">Will you commit to WCAG 2.1 Level AA conformance as a contractual obligation for the life of the contract, including updates and new releases?</w:t>
      </w:r>
    </w:p>
    <w:p>
      <w:pPr>
        <w:pStyle w:val="ListParagraph"/>
        <w:numPr>
          <w:ilvl w:val="0"/>
          <w:numId w:val="4"/>
        </w:numPr>
        <w:spacing w:after="80"/>
      </w:pPr>
      <w:r>
        <w:rPr>
          <w:sz w:val="21"/>
          <w:szCs w:val="21"/>
        </w:rPr>
        <w:t xml:space="preserve">Can you provide references from public-sector clients who have independently validated your product’s accessibility?</w:t>
      </w:r>
    </w:p>
    <w:p>
      <w:pPr>
        <w:pStyle w:val="Heading1"/>
      </w:pPr>
      <w:r>
        <w:t xml:space="preserve">7. VPAT Evaluation Worksheet</w:t>
      </w:r>
    </w:p>
    <w:p>
      <w:pPr>
        <w:spacing w:after="120"/>
      </w:pPr>
      <w:r>
        <w:t xml:space="preserve">Use this worksheet to document your evaluation of a vendor’s VPAT for each platform under consideration.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0"/>
        <w:gridCol w:w="5560"/>
      </w:tblGrid>
      <w:tr>
        <w:tc>
          <w:tcPr>
            <w:tcW w:type="dxa" w:w="3800"/>
            <w:tcBorders>
              <w:top w:val="single" w:color="CCCCCC" w:sz="1"/>
              <w:left w:val="single" w:color="CCCCCC" w:sz="1"/>
              <w:bottom w:val="single" w:color="CCCCCC" w:sz="1"/>
              <w:right w:val="single" w:color="CCCCCC" w:sz="1"/>
            </w:tcBorders>
            <w:shd w:fill="8A0F24" w:val="clear"/>
            <w:tcMar>
              <w:top w:type="dxa" w:w="60"/>
              <w:left w:type="dxa" w:w="100"/>
              <w:bottom w:type="dxa" w:w="60"/>
              <w:right w:type="dxa" w:w="100"/>
            </w:tcMar>
          </w:tcPr>
          <w:p>
            <w:pPr>
              <w:jc w:val="center"/>
            </w:pPr>
            <w:r>
              <w:rPr>
                <w:rFonts w:ascii="Source Sans 3" w:cs="Source Sans 3" w:eastAsia="Source Sans 3" w:hAnsi="Source Sans 3"/>
                <w:b/>
                <w:bCs/>
                <w:color w:val="FFFFFF"/>
                <w:sz w:val="20"/>
                <w:szCs w:val="20"/>
              </w:rPr>
              <w:t xml:space="preserve">Field</w:t>
            </w:r>
          </w:p>
        </w:tc>
        <w:tc>
          <w:tcPr>
            <w:tcW w:type="dxa" w:w="5560"/>
            <w:tcBorders>
              <w:top w:val="single" w:color="CCCCCC" w:sz="1"/>
              <w:left w:val="single" w:color="CCCCCC" w:sz="1"/>
              <w:bottom w:val="single" w:color="CCCCCC" w:sz="1"/>
              <w:right w:val="single" w:color="CCCCCC" w:sz="1"/>
            </w:tcBorders>
            <w:shd w:fill="8A0F24" w:val="clear"/>
            <w:tcMar>
              <w:top w:type="dxa" w:w="60"/>
              <w:left w:type="dxa" w:w="100"/>
              <w:bottom w:type="dxa" w:w="60"/>
              <w:right w:type="dxa" w:w="100"/>
            </w:tcMar>
          </w:tcPr>
          <w:p>
            <w:pPr>
              <w:jc w:val="center"/>
            </w:pPr>
            <w:r>
              <w:rPr>
                <w:rFonts w:ascii="Source Sans 3" w:cs="Source Sans 3" w:eastAsia="Source Sans 3" w:hAnsi="Source Sans 3"/>
                <w:b/>
                <w:bCs/>
                <w:color w:val="FFFFFF"/>
                <w:sz w:val="20"/>
                <w:szCs w:val="20"/>
              </w:rPr>
              <w:t xml:space="preserve">Response</w:t>
            </w:r>
          </w:p>
        </w:tc>
      </w:tr>
      <w:tr>
        <w:tc>
          <w:tcPr>
            <w:tcW w:type="dxa" w:w="3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b/>
                <w:bCs/>
                <w:color w:val="1C1C1C"/>
                <w:sz w:val="20"/>
                <w:szCs w:val="20"/>
              </w:rPr>
              <w:t xml:space="preserve">Platform / Product Name</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color w:val="1C1C1C"/>
                <w:sz w:val="20"/>
                <w:szCs w:val="20"/>
              </w:rPr>
              <w:t xml:space="preserve">Vendor</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b/>
                <w:bCs/>
                <w:color w:val="1C1C1C"/>
                <w:sz w:val="20"/>
                <w:szCs w:val="20"/>
              </w:rPr>
              <w:t xml:space="preserve">Product Version Evaluated</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color w:val="1C1C1C"/>
                <w:sz w:val="20"/>
                <w:szCs w:val="20"/>
              </w:rPr>
              <w:t xml:space="preserve">VPAT Edition and Version</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b/>
                <w:bCs/>
                <w:color w:val="1C1C1C"/>
                <w:sz w:val="20"/>
                <w:szCs w:val="20"/>
              </w:rPr>
              <w:t xml:space="preserve">Report Date</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color w:val="1C1C1C"/>
                <w:sz w:val="20"/>
                <w:szCs w:val="20"/>
              </w:rPr>
              <w:t xml:space="preserve">WCAG Version Covered</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b/>
                <w:bCs/>
                <w:color w:val="1C1C1C"/>
                <w:sz w:val="20"/>
                <w:szCs w:val="20"/>
              </w:rPr>
              <w:t xml:space="preserve">Evaluation Methods Described</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color w:val="1C1C1C"/>
                <w:sz w:val="20"/>
                <w:szCs w:val="20"/>
              </w:rPr>
              <w:t xml:space="preserve">Includes Manual Testing?</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b/>
                <w:bCs/>
                <w:color w:val="1C1C1C"/>
                <w:sz w:val="20"/>
                <w:szCs w:val="20"/>
              </w:rPr>
              <w:t xml:space="preserve">Number of “Supports”</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color w:val="1C1C1C"/>
                <w:sz w:val="20"/>
                <w:szCs w:val="20"/>
              </w:rPr>
              <w:t xml:space="preserve">Number of “Partially Supports”</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b/>
                <w:bCs/>
                <w:color w:val="1C1C1C"/>
                <w:sz w:val="20"/>
                <w:szCs w:val="20"/>
              </w:rPr>
              <w:t xml:space="preserve">Number of “Does Not Support”</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color w:val="1C1C1C"/>
                <w:sz w:val="20"/>
                <w:szCs w:val="20"/>
              </w:rPr>
              <w:t xml:space="preserve">High-Impact Failures Identified</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b/>
                <w:bCs/>
                <w:color w:val="1C1C1C"/>
                <w:sz w:val="20"/>
                <w:szCs w:val="20"/>
              </w:rPr>
              <w:t xml:space="preserve">Vendor Remediation Roadmap?</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color w:val="1C1C1C"/>
                <w:sz w:val="20"/>
                <w:szCs w:val="20"/>
              </w:rPr>
              <w:t xml:space="preserve">Hands-On Testing Conducted?</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b/>
                <w:bCs/>
                <w:color w:val="1C1C1C"/>
                <w:sz w:val="20"/>
                <w:szCs w:val="20"/>
              </w:rPr>
              <w:t xml:space="preserve">Hands-On Testing Findings</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color w:val="1C1C1C"/>
                <w:sz w:val="20"/>
                <w:szCs w:val="20"/>
              </w:rPr>
              <w:t xml:space="preserve">Overall Assessment</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r>
        <w:tc>
          <w:tcPr>
            <w:tcW w:type="dxa" w:w="3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b/>
                <w:bCs/>
                <w:color w:val="1C1C1C"/>
                <w:sz w:val="20"/>
                <w:szCs w:val="20"/>
              </w:rPr>
              <w:t xml:space="preserve">Evaluated By / Date</w:t>
            </w:r>
          </w:p>
        </w:tc>
        <w:tc>
          <w:tcPr>
            <w:tcW w:type="dxa" w:w="55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sz w:val="20"/>
                <w:szCs w:val="20"/>
              </w:rPr>
              <w:t xml:space="preserve"/>
            </w:r>
          </w:p>
        </w:tc>
      </w:tr>
    </w:tbl>
    <w:p>
      <w:pPr>
        <w:pBdr>
          <w:top w:val="single" w:color="8A0F24" w:sz="6" w:space="8"/>
        </w:pBdr>
        <w:spacing w:after="120" w:before="360"/>
      </w:pPr>
    </w:p>
    <w:p>
      <w:pPr>
        <w:spacing w:after="120"/>
      </w:pPr>
      <w:r>
        <w:rPr>
          <w:b/>
          <w:bCs/>
          <w:color w:val="8A0F24"/>
          <w:sz w:val="24"/>
          <w:szCs w:val="24"/>
        </w:rPr>
        <w:t xml:space="preserve">About This Resource</w:t>
      </w:r>
    </w:p>
    <w:p>
      <w:pPr>
        <w:spacing w:after="120"/>
      </w:pPr>
      <w:r>
        <w:t xml:space="preserve">This guide is a companion resource to </w:t>
      </w:r>
      <w:r>
        <w:rPr>
          <w:i/>
          <w:iCs/>
        </w:rPr>
        <w:t xml:space="preserve">Real. Relevant. Required.: A Practitioner’s Guide to ADA Title II Digital Accessibility for State and Local Government</w:t>
      </w:r>
      <w:r>
        <w:t xml:space="preserve"> by Dr. Becky Rehorn, CPACC, CPSM. It is designed for procurement officers, IT staff, and project managers evaluating third-party platform accessibility as part of their entity’s ADA Title II compliance program.</w:t>
      </w:r>
    </w:p>
    <w:p>
      <w:pPr>
        <w:spacing w:after="120"/>
      </w:pPr>
      <w:r>
        <w:t xml:space="preserve">For assistance evaluating vendor platforms, developing accessibility procurement language, or building a compliance program, contact Accessible Organizations Group LLC.</w:t>
      </w:r>
    </w:p>
    <w:p>
      <w:r>
        <w:rPr>
          <w:color w:val="8A0F24"/>
        </w:rPr>
        <w:t xml:space="preserve">becky@accessibleorganizationsgroup.com  |  423.605.0480  |  www.aogaccess.com</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Source Sans 3" w:cs="Source Sans 3" w:eastAsia="Source Sans 3" w:hAnsi="Source Sans 3"/>
        <w:color w:val="54484A"/>
        <w:sz w:val="16"/>
        <w:szCs w:val="16"/>
      </w:rPr>
      <w:t xml:space="preserve">VPAT Evaluation Guide  |  </w:t>
    </w:r>
    <w:r>
      <w:rPr>
        <w:rFonts w:ascii="Source Sans 3" w:cs="Source Sans 3" w:eastAsia="Source Sans 3" w:hAnsi="Source Sans 3"/>
        <w:color w:val="54484A"/>
        <w:sz w:val="16"/>
        <w:szCs w:val="16"/>
      </w:rPr>
      <w:t xml:space="preserve">Accessible Organizations Group LLC  |  www.aogaccess.com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360"/>
      </w:pPr>
    </w:lvl>
  </w:abstractNum>
  <w:abstractNum w:abstractNumId="3" w15:restartNumberingAfterBreak="0">
    <w:multiLevelType w:val="hybridMultilevel"/>
    <w:lvl w:ilvl="0" w15:tentative="1">
      <w:start w:val="1"/>
      <w:numFmt w:val="bullet"/>
      <w:lvlText w:val="•"/>
      <w:lvlJc w:val="left"/>
      <w:pPr>
        <w:ind w:left="540" w:hanging="360"/>
      </w:pPr>
    </w:lvl>
  </w:abstractNum>
  <w:abstractNum w:abstractNumId="4" w15:restartNumberingAfterBreak="0">
    <w:multiLevelType w:val="hybridMultilevel"/>
    <w:lvl w:ilvl="0" w15:tentative="1">
      <w:start w:val="1"/>
      <w:numFmt w:val="decimal"/>
      <w:lvlText w:val="%1."/>
      <w:lvlJc w:val="left"/>
      <w:pPr>
        <w:ind w:left="54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ource Sans 3" w:cs="Source Sans 3" w:eastAsia="Source Sans 3" w:hAnsi="Source Sans 3"/>
        <w:color w:val="1C1C1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Source Sans 3" w:cs="Source Sans 3" w:eastAsia="Source Sans 3" w:hAnsi="Source Sans 3"/>
      <w:b/>
      <w:bCs/>
      <w:color w:val="8A0F24"/>
      <w:sz w:val="30"/>
      <w:szCs w:val="30"/>
    </w:rPr>
  </w:style>
  <w:style w:type="paragraph" w:styleId="Heading2">
    <w:name w:val="Heading 2"/>
    <w:basedOn w:val="Normal"/>
    <w:next w:val="Normal"/>
    <w:qFormat/>
    <w:pPr>
      <w:spacing w:after="120" w:before="280"/>
      <w:outlineLvl w:val="1"/>
    </w:pPr>
    <w:rPr>
      <w:rFonts w:ascii="Source Sans 3" w:cs="Source Sans 3" w:eastAsia="Source Sans 3" w:hAnsi="Source Sans 3"/>
      <w:b/>
      <w:bCs/>
      <w:color w:val="8A0F2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2026-04-21T14:16:46.859Z</dcterms:created>
  <dcterms:modified xsi:type="dcterms:W3CDTF">2026-04-21T14:16:46.859Z</dcterms:modified>
</cp:coreProperties>
</file>

<file path=docProps/custom.xml><?xml version="1.0" encoding="utf-8"?>
<Properties xmlns="http://schemas.openxmlformats.org/officeDocument/2006/custom-properties" xmlns:vt="http://schemas.openxmlformats.org/officeDocument/2006/docPropsVTypes"/>
</file>