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Source Sans 3" w:cs="Source Sans 3" w:eastAsia="Source Sans 3" w:hAnsi="Source Sans 3"/>
          <w:b/>
          <w:bCs/>
          <w:color w:val="8A0F24"/>
          <w:sz w:val="36"/>
          <w:szCs w:val="36"/>
        </w:rPr>
        <w:t xml:space="preserve">Deliverable Acceptance Checklist</w:t>
      </w:r>
    </w:p>
    <w:p>
      <w:pPr>
        <w:spacing w:after="40"/>
      </w:pPr>
      <w:r>
        <w:rPr>
          <w:rFonts w:ascii="Source Sans 3" w:cs="Source Sans 3" w:eastAsia="Source Sans 3" w:hAnsi="Source Sans 3"/>
          <w:color w:val="54484A"/>
          <w:sz w:val="24"/>
          <w:szCs w:val="24"/>
        </w:rPr>
        <w:t xml:space="preserve">Accessibility Validation at the Point of Acceptance</w:t>
      </w:r>
    </w:p>
    <w:p>
      <w:pPr>
        <w:pBdr>
          <w:bottom w:val="single" w:color="8A0F24" w:sz="6" w:space="8"/>
        </w:pBdr>
        <w:spacing w:after="200"/>
      </w:pPr>
      <w:r>
        <w:rPr>
          <w:rFonts w:ascii="Source Sans 3" w:cs="Source Sans 3" w:eastAsia="Source Sans 3" w:hAnsi="Source Sans 3"/>
          <w:color w:val="54484A"/>
          <w:sz w:val="18"/>
          <w:szCs w:val="18"/>
        </w:rPr>
        <w:t xml:space="preserve">Companion resource for Real. Relevant. Required.  |  Dr. Becky Rehorn, CPACC, CPSM  |  AOG</w:t>
      </w:r>
    </w:p>
    <w:p>
      <w:pPr>
        <w:spacing w:after="120" w:before="120"/>
      </w:pPr>
      <w:r>
        <w:t xml:space="preserve">This checklist is used by the entity’s reviewer at the point of acceptance — the last checkpoint before a consultant’s or vendor’s deliverable enters the entity’s public-facing inventory. It is not an audit. It is a gate: a structured, repeatable review that confirms the deliverable has been tested and that no obvious accessibility failures are present before the content goes live.</w:t>
      </w:r>
    </w:p>
    <w:p>
      <w:pPr>
        <w:spacing w:after="120"/>
      </w:pPr>
      <w:r>
        <w:rPr>
          <w:b/>
          <w:bCs/>
        </w:rPr>
        <w:t xml:space="preserve">Estimated time: 30–60 minutes per deliverable for a trained reviewer.</w:t>
      </w:r>
    </w:p>
    <w:p>
      <w:pPr>
        <w:spacing w:after="80"/>
      </w:pPr>
      <w:r>
        <w:t xml:space="preserve">For AEC firms with an existing QA/QC process, this checklist can be incorporated as an accessibility checkpoint within that process rather than run as a separate workflow.</w:t>
      </w:r>
    </w:p>
    <w:p>
      <w:pPr>
        <w:pStyle w:val="Heading1"/>
      </w:pPr>
      <w:r>
        <w:t xml:space="preserve">Deliverable Information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b/>
                <w:bCs/>
                <w:color w:val="1C1C1C"/>
                <w:sz w:val="20"/>
                <w:szCs w:val="20"/>
              </w:rPr>
              <w:t xml:space="preserve">Deliverable Title</w:t>
            </w:r>
          </w:p>
        </w:tc>
        <w:tc>
          <w:tcPr>
            <w:tcW w:type="dxa" w:w="61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i w:val="false"/>
                <w:iCs w:val="false"/>
                <w:color w:val="1C1C1C"/>
                <w:sz w:val="20"/>
                <w:szCs w:val="20"/>
              </w:rPr>
              <w:t xml:space="preserve"/>
            </w:r>
          </w:p>
        </w:tc>
      </w:tr>
      <w:tr>
        <w:tc>
          <w:tcPr>
            <w:tcW w:type="dxa" w:w="32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b/>
                <w:bCs/>
                <w:color w:val="1C1C1C"/>
                <w:sz w:val="20"/>
                <w:szCs w:val="20"/>
              </w:rPr>
              <w:t xml:space="preserve">Deliverable Type</w:t>
            </w:r>
          </w:p>
        </w:tc>
        <w:tc>
          <w:tcPr>
            <w:tcW w:type="dxa" w:w="61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i/>
                <w:iCs/>
                <w:color w:val="54484A"/>
                <w:sz w:val="20"/>
                <w:szCs w:val="20"/>
              </w:rPr>
              <w:t xml:space="preserve">PDF / Website / Platform / Video / Other</w:t>
            </w:r>
          </w:p>
        </w:tc>
      </w:tr>
      <w:tr>
        <w:tc>
          <w:tcPr>
            <w:tcW w:type="dxa" w:w="32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b/>
                <w:bCs/>
                <w:color w:val="1C1C1C"/>
                <w:sz w:val="20"/>
                <w:szCs w:val="20"/>
              </w:rPr>
              <w:t xml:space="preserve">Consultant / Vendor</w:t>
            </w:r>
          </w:p>
        </w:tc>
        <w:tc>
          <w:tcPr>
            <w:tcW w:type="dxa" w:w="61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i w:val="false"/>
                <w:iCs w:val="false"/>
                <w:color w:val="1C1C1C"/>
                <w:sz w:val="20"/>
                <w:szCs w:val="20"/>
              </w:rPr>
              <w:t xml:space="preserve"/>
            </w:r>
          </w:p>
        </w:tc>
      </w:tr>
      <w:tr>
        <w:tc>
          <w:tcPr>
            <w:tcW w:type="dxa" w:w="32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b/>
                <w:bCs/>
                <w:color w:val="1C1C1C"/>
                <w:sz w:val="20"/>
                <w:szCs w:val="20"/>
              </w:rPr>
              <w:t xml:space="preserve">Contract / Project</w:t>
            </w:r>
          </w:p>
        </w:tc>
        <w:tc>
          <w:tcPr>
            <w:tcW w:type="dxa" w:w="61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i w:val="false"/>
                <w:iCs w:val="false"/>
                <w:color w:val="1C1C1C"/>
                <w:sz w:val="20"/>
                <w:szCs w:val="20"/>
              </w:rPr>
              <w:t xml:space="preserve"/>
            </w:r>
          </w:p>
        </w:tc>
      </w:tr>
      <w:tr>
        <w:tc>
          <w:tcPr>
            <w:tcW w:type="dxa" w:w="32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b/>
                <w:bCs/>
                <w:color w:val="1C1C1C"/>
                <w:sz w:val="20"/>
                <w:szCs w:val="20"/>
              </w:rPr>
              <w:t xml:space="preserve">Date Submitted</w:t>
            </w:r>
          </w:p>
        </w:tc>
        <w:tc>
          <w:tcPr>
            <w:tcW w:type="dxa" w:w="61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i w:val="false"/>
                <w:iCs w:val="false"/>
                <w:color w:val="1C1C1C"/>
                <w:sz w:val="20"/>
                <w:szCs w:val="20"/>
              </w:rPr>
              <w:t xml:space="preserve"/>
            </w:r>
          </w:p>
        </w:tc>
      </w:tr>
      <w:tr>
        <w:tc>
          <w:tcPr>
            <w:tcW w:type="dxa" w:w="32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b/>
                <w:bCs/>
                <w:color w:val="1C1C1C"/>
                <w:sz w:val="20"/>
                <w:szCs w:val="20"/>
              </w:rPr>
              <w:t xml:space="preserve">Reviewer Name</w:t>
            </w:r>
          </w:p>
        </w:tc>
        <w:tc>
          <w:tcPr>
            <w:tcW w:type="dxa" w:w="61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i w:val="false"/>
                <w:iCs w:val="false"/>
                <w:color w:val="1C1C1C"/>
                <w:sz w:val="20"/>
                <w:szCs w:val="20"/>
              </w:rPr>
              <w:t xml:space="preserve"/>
            </w:r>
          </w:p>
        </w:tc>
      </w:tr>
      <w:tr>
        <w:tc>
          <w:tcPr>
            <w:tcW w:type="dxa" w:w="32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b/>
                <w:bCs/>
                <w:color w:val="1C1C1C"/>
                <w:sz w:val="20"/>
                <w:szCs w:val="20"/>
              </w:rPr>
              <w:t xml:space="preserve">Date of Review</w:t>
            </w:r>
          </w:p>
        </w:tc>
        <w:tc>
          <w:tcPr>
            <w:tcW w:type="dxa" w:w="61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i w:val="false"/>
                <w:iCs w:val="false"/>
                <w:color w:val="1C1C1C"/>
                <w:sz w:val="20"/>
                <w:szCs w:val="20"/>
              </w:rPr>
              <w:t xml:space="preserve"/>
            </w:r>
          </w:p>
        </w:tc>
      </w:tr>
    </w:tbl>
    <w:p>
      <w:pPr>
        <w:pStyle w:val="Heading1"/>
      </w:pPr>
      <w:r>
        <w:t xml:space="preserve">Gate 1: Conformance Statement Review</w:t>
      </w:r>
    </w:p>
    <w:p>
      <w:pPr>
        <w:spacing w:after="80"/>
      </w:pPr>
      <w:r>
        <w:rPr>
          <w:i/>
          <w:iCs/>
          <w:color w:val="54484A"/>
        </w:rPr>
        <w:t xml:space="preserve">Verify that the consultant’s conformance statement is present, complete, and specific to this deliverable.</w:t>
      </w:r>
    </w:p>
    <w:p>
      <w:pPr>
        <w:pStyle w:val="ListParagraph"/>
        <w:numPr>
          <w:ilvl w:val="0"/>
          <w:numId w:val="2"/>
        </w:numPr>
        <w:spacing w:after="60"/>
      </w:pPr>
      <w:r>
        <w:rPr>
          <w:sz w:val="20"/>
          <w:szCs w:val="20"/>
        </w:rPr>
        <w:t xml:space="preserve">Conformance statement is included with the deliverable submission.</w:t>
      </w:r>
    </w:p>
    <w:p>
      <w:pPr>
        <w:pStyle w:val="ListParagraph"/>
        <w:numPr>
          <w:ilvl w:val="0"/>
          <w:numId w:val="2"/>
        </w:numPr>
        <w:spacing w:after="60"/>
      </w:pPr>
      <w:r>
        <w:rPr>
          <w:sz w:val="20"/>
          <w:szCs w:val="20"/>
        </w:rPr>
        <w:t xml:space="preserve">Conformance statement identifies this specific deliverable by name (not a generic or blanket statement).</w:t>
      </w:r>
    </w:p>
    <w:p>
      <w:pPr>
        <w:pStyle w:val="ListParagraph"/>
        <w:numPr>
          <w:ilvl w:val="0"/>
          <w:numId w:val="2"/>
        </w:numPr>
        <w:spacing w:after="60"/>
      </w:pPr>
      <w:r>
        <w:rPr>
          <w:sz w:val="20"/>
          <w:szCs w:val="20"/>
        </w:rPr>
        <w:t xml:space="preserve">Conformance standard is identified as WCAG 2.1 Level AA.</w:t>
      </w:r>
    </w:p>
    <w:p>
      <w:pPr>
        <w:pStyle w:val="ListParagraph"/>
        <w:numPr>
          <w:ilvl w:val="0"/>
          <w:numId w:val="2"/>
        </w:numPr>
        <w:spacing w:after="60"/>
      </w:pPr>
      <w:r>
        <w:rPr>
          <w:sz w:val="20"/>
          <w:szCs w:val="20"/>
        </w:rPr>
        <w:t xml:space="preserve">Date of testing is documented.</w:t>
      </w:r>
    </w:p>
    <w:p>
      <w:pPr>
        <w:pStyle w:val="ListParagraph"/>
        <w:numPr>
          <w:ilvl w:val="0"/>
          <w:numId w:val="2"/>
        </w:numPr>
        <w:spacing w:after="60"/>
      </w:pPr>
      <w:r>
        <w:rPr>
          <w:sz w:val="20"/>
          <w:szCs w:val="20"/>
        </w:rPr>
        <w:t xml:space="preserve">Testing methods are described, including whether automated scanning, manual review, keyboard testing, and screen reader testing were used.</w:t>
      </w:r>
    </w:p>
    <w:p>
      <w:pPr>
        <w:pStyle w:val="ListParagraph"/>
        <w:numPr>
          <w:ilvl w:val="0"/>
          <w:numId w:val="2"/>
        </w:numPr>
        <w:spacing w:after="60"/>
      </w:pPr>
      <w:r>
        <w:rPr>
          <w:sz w:val="20"/>
          <w:szCs w:val="20"/>
        </w:rPr>
        <w:t xml:space="preserve">Results are clearly stated: full conformance, conformance after remediation, or known limitations.</w:t>
      </w:r>
    </w:p>
    <w:p>
      <w:pPr>
        <w:pStyle w:val="ListParagraph"/>
        <w:numPr>
          <w:ilvl w:val="0"/>
          <w:numId w:val="2"/>
        </w:numPr>
        <w:spacing w:after="60"/>
      </w:pPr>
      <w:r>
        <w:rPr>
          <w:sz w:val="20"/>
          <w:szCs w:val="20"/>
        </w:rPr>
        <w:t xml:space="preserve">If remediation was performed, the remediation log documents what was found, what was fixed, and when it was retested.</w:t>
      </w:r>
    </w:p>
    <w:p>
      <w:pPr>
        <w:pStyle w:val="ListParagraph"/>
        <w:numPr>
          <w:ilvl w:val="0"/>
          <w:numId w:val="2"/>
        </w:numPr>
        <w:spacing w:after="60"/>
      </w:pPr>
      <w:r>
        <w:rPr>
          <w:sz w:val="20"/>
          <w:szCs w:val="20"/>
        </w:rPr>
        <w:t xml:space="preserve">If known limitations exist, they are described with affected users, reason unresolved, and expected fix date.</w:t>
      </w:r>
    </w:p>
    <w:p>
      <w:pPr>
        <w:pStyle w:val="ListParagraph"/>
        <w:numPr>
          <w:ilvl w:val="0"/>
          <w:numId w:val="2"/>
        </w:numPr>
        <w:spacing w:after="60"/>
      </w:pPr>
      <w:r>
        <w:rPr>
          <w:sz w:val="20"/>
          <w:szCs w:val="20"/>
        </w:rPr>
        <w:t xml:space="preserve">Certification is signed and dated.</w:t>
      </w:r>
    </w:p>
    <w:p>
      <w:pPr>
        <w:pBdr>
          <w:left w:val="single" w:color="8A0F24" w:sz="12" w:space="8"/>
        </w:pBdr>
        <w:spacing w:after="120" w:before="80"/>
        <w:ind w:left="360"/>
      </w:pPr>
      <w:r>
        <w:rPr>
          <w:b/>
          <w:bCs/>
          <w:sz w:val="20"/>
          <w:szCs w:val="20"/>
        </w:rPr>
        <w:t xml:space="preserve">Stop point: </w:t>
      </w:r>
      <w:r>
        <w:rPr>
          <w:sz w:val="20"/>
          <w:szCs w:val="20"/>
        </w:rPr>
        <w:t xml:space="preserve">If no conformance statement was submitted, return the deliverable. A deliverable without a conformance statement has not been tested against the standard and is not ready for acceptance.</w:t>
      </w:r>
    </w:p>
    <w:p>
      <w:pPr>
        <w:pStyle w:val="Heading1"/>
      </w:pPr>
      <w:r>
        <w:t xml:space="preserve">Gate 2: Automated Scan</w:t>
      </w:r>
    </w:p>
    <w:p>
      <w:pPr>
        <w:spacing w:after="80"/>
      </w:pPr>
      <w:r>
        <w:rPr>
          <w:i/>
          <w:iCs/>
          <w:color w:val="54484A"/>
        </w:rPr>
        <w:t xml:space="preserve">Run a quick automated check as an independent verification of the consultant’s testing. This takes 5–10 minutes.</w:t>
      </w:r>
    </w:p>
    <w:p>
      <w:pPr>
        <w:pStyle w:val="Heading2"/>
      </w:pPr>
      <w:r>
        <w:t xml:space="preserve">For PDF deliverables</w:t>
      </w:r>
    </w:p>
    <w:p>
      <w:pPr>
        <w:pStyle w:val="ListParagraph"/>
        <w:numPr>
          <w:ilvl w:val="0"/>
          <w:numId w:val="2"/>
        </w:numPr>
        <w:spacing w:after="60"/>
      </w:pPr>
      <w:r>
        <w:rPr>
          <w:sz w:val="20"/>
          <w:szCs w:val="20"/>
        </w:rPr>
        <w:t xml:space="preserve">Run the PDF through PAC 2026 (or equivalent PDF accessibility checker).</w:t>
      </w:r>
    </w:p>
    <w:p>
      <w:pPr>
        <w:pStyle w:val="ListParagraph"/>
        <w:numPr>
          <w:ilvl w:val="0"/>
          <w:numId w:val="2"/>
        </w:numPr>
        <w:spacing w:after="60"/>
      </w:pPr>
      <w:r>
        <w:rPr>
          <w:sz w:val="20"/>
          <w:szCs w:val="20"/>
        </w:rPr>
        <w:t xml:space="preserve">Review the validation summary. Are there critical failures in tag structure, reading order, or alt text?</w:t>
      </w:r>
    </w:p>
    <w:p>
      <w:pPr>
        <w:pStyle w:val="ListParagraph"/>
        <w:numPr>
          <w:ilvl w:val="0"/>
          <w:numId w:val="2"/>
        </w:numPr>
        <w:spacing w:after="60"/>
      </w:pPr>
      <w:r>
        <w:rPr>
          <w:sz w:val="20"/>
          <w:szCs w:val="20"/>
        </w:rPr>
        <w:t xml:space="preserve">Compare PAC results against the consultant’s conformance statement. Do the results align?</w:t>
      </w:r>
    </w:p>
    <w:p>
      <w:pPr>
        <w:pStyle w:val="Heading2"/>
      </w:pPr>
      <w:r>
        <w:t xml:space="preserve">For web deliverables</w:t>
      </w:r>
    </w:p>
    <w:p>
      <w:pPr>
        <w:pStyle w:val="ListParagraph"/>
        <w:numPr>
          <w:ilvl w:val="0"/>
          <w:numId w:val="2"/>
        </w:numPr>
        <w:spacing w:after="60"/>
      </w:pPr>
      <w:r>
        <w:rPr>
          <w:sz w:val="20"/>
          <w:szCs w:val="20"/>
        </w:rPr>
        <w:t xml:space="preserve">Run the page through axe DevTools (browser extension) or equivalent automated scanner.</w:t>
      </w:r>
    </w:p>
    <w:p>
      <w:pPr>
        <w:pStyle w:val="ListParagraph"/>
        <w:numPr>
          <w:ilvl w:val="0"/>
          <w:numId w:val="2"/>
        </w:numPr>
        <w:spacing w:after="60"/>
      </w:pPr>
      <w:r>
        <w:rPr>
          <w:sz w:val="20"/>
          <w:szCs w:val="20"/>
        </w:rPr>
        <w:t xml:space="preserve">Review the error count and error types. Are there critical failures (missing alt text, missing form labels, contrast violations)?</w:t>
      </w:r>
    </w:p>
    <w:p>
      <w:pPr>
        <w:pStyle w:val="ListParagraph"/>
        <w:numPr>
          <w:ilvl w:val="0"/>
          <w:numId w:val="2"/>
        </w:numPr>
        <w:spacing w:after="60"/>
      </w:pPr>
      <w:r>
        <w:rPr>
          <w:sz w:val="20"/>
          <w:szCs w:val="20"/>
        </w:rPr>
        <w:t xml:space="preserve">Compare scan results against the consultant’s conformance statement. Do the results align?</w:t>
      </w:r>
    </w:p>
    <w:p>
      <w:pPr>
        <w:pStyle w:val="Heading2"/>
      </w:pPr>
      <w:r>
        <w:t xml:space="preserve">For video/audio deliverables</w:t>
      </w:r>
    </w:p>
    <w:p>
      <w:pPr>
        <w:pStyle w:val="ListParagraph"/>
        <w:numPr>
          <w:ilvl w:val="0"/>
          <w:numId w:val="2"/>
        </w:numPr>
        <w:spacing w:after="60"/>
      </w:pPr>
      <w:r>
        <w:rPr>
          <w:sz w:val="20"/>
          <w:szCs w:val="20"/>
        </w:rPr>
        <w:t xml:space="preserve">Spot-check captions against the audio at 3–5 points in the content, focusing on technical terms, project names, and street names.</w:t>
      </w:r>
    </w:p>
    <w:p>
      <w:pPr>
        <w:pStyle w:val="ListParagraph"/>
        <w:numPr>
          <w:ilvl w:val="0"/>
          <w:numId w:val="2"/>
        </w:numPr>
        <w:spacing w:after="60"/>
      </w:pPr>
      <w:r>
        <w:rPr>
          <w:sz w:val="20"/>
          <w:szCs w:val="20"/>
        </w:rPr>
        <w:t xml:space="preserve">Verify that a transcript is available (if required by the scope).</w:t>
      </w:r>
    </w:p>
    <w:p>
      <w:pPr>
        <w:pStyle w:val="ListParagraph"/>
        <w:numPr>
          <w:ilvl w:val="0"/>
          <w:numId w:val="2"/>
        </w:numPr>
        <w:spacing w:after="60"/>
      </w:pPr>
      <w:r>
        <w:rPr>
          <w:sz w:val="20"/>
          <w:szCs w:val="20"/>
        </w:rPr>
        <w:t xml:space="preserve">Verify that visual-only content (maps, renderings, charts) is described in the audio track or in a separate audio description.</w:t>
      </w:r>
    </w:p>
    <w:p>
      <w:pPr>
        <w:pBdr>
          <w:left w:val="single" w:color="8A0F24" w:sz="12" w:space="8"/>
        </w:pBdr>
        <w:spacing w:after="120" w:before="80"/>
        <w:ind w:left="360"/>
      </w:pPr>
      <w:r>
        <w:rPr>
          <w:b/>
          <w:bCs/>
          <w:sz w:val="20"/>
          <w:szCs w:val="20"/>
        </w:rPr>
        <w:t xml:space="preserve">Stop point: </w:t>
      </w:r>
      <w:r>
        <w:rPr>
          <w:sz w:val="20"/>
          <w:szCs w:val="20"/>
        </w:rPr>
        <w:t xml:space="preserve">If the automated scan reveals critical failures not disclosed in the conformance statement, return the deliverable for remediation and an updated conformance statement.</w:t>
      </w:r>
    </w:p>
    <w:p>
      <w:pPr>
        <w:pStyle w:val="Heading1"/>
      </w:pPr>
      <w:r>
        <w:t xml:space="preserve">Gate 3: Manual Spot-Check</w:t>
      </w:r>
    </w:p>
    <w:p>
      <w:pPr>
        <w:spacing w:after="80"/>
      </w:pPr>
      <w:r>
        <w:rPr>
          <w:i/>
          <w:iCs/>
          <w:color w:val="54484A"/>
        </w:rPr>
        <w:t xml:space="preserve">Perform a brief manual review of the highest-impact accessibility elements. This takes 15–30 minutes and catches what automated tools miss.</w:t>
      </w:r>
    </w:p>
    <w:p>
      <w:pPr>
        <w:pStyle w:val="Heading2"/>
      </w:pPr>
      <w:r>
        <w:t xml:space="preserve">Keyboard navigation</w:t>
      </w:r>
    </w:p>
    <w:p>
      <w:pPr>
        <w:pStyle w:val="ListParagraph"/>
        <w:numPr>
          <w:ilvl w:val="0"/>
          <w:numId w:val="2"/>
        </w:numPr>
        <w:spacing w:after="60"/>
      </w:pPr>
      <w:r>
        <w:rPr>
          <w:sz w:val="20"/>
          <w:szCs w:val="20"/>
        </w:rPr>
        <w:t xml:space="preserve">Starting from the top of the page or the beginning of the document, press Tab repeatedly. Does the focus move through interactive elements in a logical order?</w:t>
      </w:r>
    </w:p>
    <w:p>
      <w:pPr>
        <w:pStyle w:val="ListParagraph"/>
        <w:numPr>
          <w:ilvl w:val="0"/>
          <w:numId w:val="2"/>
        </w:numPr>
        <w:spacing w:after="60"/>
      </w:pPr>
      <w:r>
        <w:rPr>
          <w:sz w:val="20"/>
          <w:szCs w:val="20"/>
        </w:rPr>
        <w:t xml:space="preserve">Is the focus indicator visible on every element? Can you always tell where you are on the page?</w:t>
      </w:r>
    </w:p>
    <w:p>
      <w:pPr>
        <w:pStyle w:val="ListParagraph"/>
        <w:numPr>
          <w:ilvl w:val="0"/>
          <w:numId w:val="2"/>
        </w:numPr>
        <w:spacing w:after="60"/>
      </w:pPr>
      <w:r>
        <w:rPr>
          <w:sz w:val="20"/>
          <w:szCs w:val="20"/>
        </w:rPr>
        <w:t xml:space="preserve">Can you activate links and buttons with Enter? Can you operate dropdown menus and close dialog boxes with Escape?</w:t>
      </w:r>
    </w:p>
    <w:p>
      <w:pPr>
        <w:pStyle w:val="ListParagraph"/>
        <w:numPr>
          <w:ilvl w:val="0"/>
          <w:numId w:val="2"/>
        </w:numPr>
        <w:spacing w:after="60"/>
      </w:pPr>
      <w:r>
        <w:rPr>
          <w:sz w:val="20"/>
          <w:szCs w:val="20"/>
        </w:rPr>
        <w:t xml:space="preserve">Are there any keyboard traps — places where Tab moves you in but you cannot Tab out?</w:t>
      </w:r>
    </w:p>
    <w:p>
      <w:pPr>
        <w:pStyle w:val="Heading2"/>
      </w:pPr>
      <w:r>
        <w:t xml:space="preserve">Heading structure</w:t>
      </w:r>
    </w:p>
    <w:p>
      <w:pPr>
        <w:pStyle w:val="ListParagraph"/>
        <w:numPr>
          <w:ilvl w:val="0"/>
          <w:numId w:val="2"/>
        </w:numPr>
        <w:spacing w:after="60"/>
      </w:pPr>
      <w:r>
        <w:rPr>
          <w:sz w:val="20"/>
          <w:szCs w:val="20"/>
        </w:rPr>
        <w:t xml:space="preserve">Does the deliverable use a logical heading hierarchy (H1, H2, H3 in order, no skipped levels)?</w:t>
      </w:r>
    </w:p>
    <w:p>
      <w:pPr>
        <w:pStyle w:val="ListParagraph"/>
        <w:numPr>
          <w:ilvl w:val="0"/>
          <w:numId w:val="2"/>
        </w:numPr>
        <w:spacing w:after="60"/>
      </w:pPr>
      <w:r>
        <w:rPr>
          <w:sz w:val="20"/>
          <w:szCs w:val="20"/>
        </w:rPr>
        <w:t xml:space="preserve">For PDFs: Open the Tags panel in Acrobat or run through PAC 2026. Are the headings tagged as headings (not just bold text)?</w:t>
      </w:r>
    </w:p>
    <w:p>
      <w:pPr>
        <w:pStyle w:val="ListParagraph"/>
        <w:numPr>
          <w:ilvl w:val="0"/>
          <w:numId w:val="2"/>
        </w:numPr>
        <w:spacing w:after="60"/>
      </w:pPr>
      <w:r>
        <w:rPr>
          <w:sz w:val="20"/>
          <w:szCs w:val="20"/>
        </w:rPr>
        <w:t xml:space="preserve">For web pages: Use the browser’s accessibility tree or a tool like HeadingsMap to verify the hierarchy.</w:t>
      </w:r>
    </w:p>
    <w:p>
      <w:pPr>
        <w:pStyle w:val="Heading2"/>
      </w:pPr>
      <w:r>
        <w:t xml:space="preserve">Alt text on key images</w:t>
      </w:r>
    </w:p>
    <w:p>
      <w:pPr>
        <w:pStyle w:val="ListParagraph"/>
        <w:numPr>
          <w:ilvl w:val="0"/>
          <w:numId w:val="2"/>
        </w:numPr>
        <w:spacing w:after="60"/>
      </w:pPr>
      <w:r>
        <w:rPr>
          <w:sz w:val="20"/>
          <w:szCs w:val="20"/>
        </w:rPr>
        <w:t xml:space="preserve">Check the 3–5 most important images in the deliverable. Do they have alt text?</w:t>
      </w:r>
    </w:p>
    <w:p>
      <w:pPr>
        <w:pStyle w:val="ListParagraph"/>
        <w:numPr>
          <w:ilvl w:val="0"/>
          <w:numId w:val="2"/>
        </w:numPr>
        <w:spacing w:after="60"/>
      </w:pPr>
      <w:r>
        <w:rPr>
          <w:sz w:val="20"/>
          <w:szCs w:val="20"/>
        </w:rPr>
        <w:t xml:space="preserve">Is the alt text meaningful? Does it describe what the image conveys, not just what it looks like? (e.g., “Proposed intersection with raised median and two crosswalks” not “image1.jpg”)</w:t>
      </w:r>
    </w:p>
    <w:p>
      <w:pPr>
        <w:pStyle w:val="ListParagraph"/>
        <w:numPr>
          <w:ilvl w:val="0"/>
          <w:numId w:val="2"/>
        </w:numPr>
        <w:spacing w:after="60"/>
      </w:pPr>
      <w:r>
        <w:rPr>
          <w:sz w:val="20"/>
          <w:szCs w:val="20"/>
        </w:rPr>
        <w:t xml:space="preserve">Are decorative images marked as artifacts (PDFs) or given empty alt attributes (web)?</w:t>
      </w:r>
    </w:p>
    <w:p>
      <w:pPr>
        <w:pStyle w:val="Heading2"/>
      </w:pPr>
      <w:r>
        <w:t xml:space="preserve">Form usability (if applicable)</w:t>
      </w:r>
    </w:p>
    <w:p>
      <w:pPr>
        <w:pStyle w:val="ListParagraph"/>
        <w:numPr>
          <w:ilvl w:val="0"/>
          <w:numId w:val="2"/>
        </w:numPr>
        <w:spacing w:after="60"/>
      </w:pPr>
      <w:r>
        <w:rPr>
          <w:sz w:val="20"/>
          <w:szCs w:val="20"/>
        </w:rPr>
        <w:t xml:space="preserve">Can you complete the form using only the keyboard?</w:t>
      </w:r>
    </w:p>
    <w:p>
      <w:pPr>
        <w:pStyle w:val="ListParagraph"/>
        <w:numPr>
          <w:ilvl w:val="0"/>
          <w:numId w:val="2"/>
        </w:numPr>
        <w:spacing w:after="60"/>
      </w:pPr>
      <w:r>
        <w:rPr>
          <w:sz w:val="20"/>
          <w:szCs w:val="20"/>
        </w:rPr>
        <w:t xml:space="preserve">Are all fields labeled? (Click on the label text — if the cursor moves to the field, the label is associated.)</w:t>
      </w:r>
    </w:p>
    <w:p>
      <w:pPr>
        <w:pStyle w:val="ListParagraph"/>
        <w:numPr>
          <w:ilvl w:val="0"/>
          <w:numId w:val="2"/>
        </w:numPr>
        <w:spacing w:after="60"/>
      </w:pPr>
      <w:r>
        <w:rPr>
          <w:sz w:val="20"/>
          <w:szCs w:val="20"/>
        </w:rPr>
        <w:t xml:space="preserve">Are required fields identified in text, not only by color or asterisk?</w:t>
      </w:r>
    </w:p>
    <w:p>
      <w:pPr>
        <w:pStyle w:val="ListParagraph"/>
        <w:numPr>
          <w:ilvl w:val="0"/>
          <w:numId w:val="2"/>
        </w:numPr>
        <w:spacing w:after="60"/>
      </w:pPr>
      <w:r>
        <w:rPr>
          <w:sz w:val="20"/>
          <w:szCs w:val="20"/>
        </w:rPr>
        <w:t xml:space="preserve">If you submit with a missing required field, does the error message name the specific field?</w:t>
      </w:r>
    </w:p>
    <w:p>
      <w:pPr>
        <w:pStyle w:val="Heading1"/>
      </w:pPr>
      <w:r>
        <w:t xml:space="preserve">Acceptance Decision</w:t>
      </w:r>
    </w:p>
    <w:p>
      <w:pPr>
        <w:spacing w:after="80"/>
      </w:pPr>
      <w:r>
        <w:rPr>
          <w:i/>
          <w:iCs/>
          <w:color w:val="54484A"/>
          <w:sz w:val="20"/>
          <w:szCs w:val="20"/>
        </w:rPr>
        <w:t xml:space="preserve">Based on the three gates above, select one.</w:t>
      </w:r>
    </w:p>
    <w:p>
      <w:pPr>
        <w:pStyle w:val="ListParagraph"/>
        <w:numPr>
          <w:ilvl w:val="0"/>
          <w:numId w:val="2"/>
        </w:numPr>
        <w:spacing w:after="100"/>
      </w:pPr>
      <w:r>
        <w:rPr>
          <w:sz w:val="20"/>
          <w:szCs w:val="20"/>
        </w:rPr>
        <w:t xml:space="preserve">ACCEPT. Conformance statement is complete, automated scan aligns with reported results, and manual spot-check reveals no undisclosed failures. The deliverable may be published.</w:t>
      </w:r>
    </w:p>
    <w:p>
      <w:pPr>
        <w:pStyle w:val="ListParagraph"/>
        <w:numPr>
          <w:ilvl w:val="0"/>
          <w:numId w:val="2"/>
        </w:numPr>
        <w:spacing w:after="100"/>
      </w:pPr>
      <w:r>
        <w:rPr>
          <w:sz w:val="20"/>
          <w:szCs w:val="20"/>
        </w:rPr>
        <w:t xml:space="preserve">RETURN FOR REMEDIATION. Failures were identified that are not documented in the conformance statement, or the conformance statement is missing or incomplete. The deliverable is returned to the consultant with specific findings. Remediation and an updated conformance statement are required before re-review.</w:t>
      </w:r>
    </w:p>
    <w:p>
      <w:pPr>
        <w:pStyle w:val="ListParagraph"/>
        <w:numPr>
          <w:ilvl w:val="0"/>
          <w:numId w:val="2"/>
        </w:numPr>
        <w:spacing w:after="100"/>
      </w:pPr>
      <w:r>
        <w:rPr>
          <w:sz w:val="20"/>
          <w:szCs w:val="20"/>
        </w:rPr>
        <w:t xml:space="preserve">ACCEPT CONDITIONALLY. The deliverable must be published to meet a regulatory or engagement timeline, but known accessibility issues remain. Conditional acceptance is documented below with a remediation deadline. Payment holdback applies per contract terms (if applicable).</w:t>
      </w:r>
    </w:p>
    <w:p>
      <w:pPr>
        <w:pStyle w:val="Heading2"/>
      </w:pPr>
      <w:r>
        <w:t xml:space="preserve">If Conditional Acceptance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b/>
                <w:bCs/>
                <w:color w:val="1C1C1C"/>
                <w:sz w:val="20"/>
                <w:szCs w:val="20"/>
              </w:rPr>
              <w:t xml:space="preserve">Issues Requiring Remediation</w:t>
            </w:r>
          </w:p>
        </w:tc>
        <w:tc>
          <w:tcPr>
            <w:tcW w:type="dxa" w:w="61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i w:val="false"/>
                <w:iCs w:val="false"/>
                <w:color w:val="1C1C1C"/>
                <w:sz w:val="20"/>
                <w:szCs w:val="20"/>
              </w:rPr>
              <w:t xml:space="preserve"/>
            </w:r>
          </w:p>
          <w:p>
            <w:r>
              <w:rPr>
                <w:rFonts w:ascii="Source Sans 3" w:cs="Source Sans 3" w:eastAsia="Source Sans 3" w:hAnsi="Source Sans 3"/>
                <w:sz w:val="20"/>
                <w:szCs w:val="20"/>
              </w:rPr>
              <w:t xml:space="preserve"/>
            </w:r>
          </w:p>
          <w:p>
            <w:r>
              <w:rPr>
                <w:rFonts w:ascii="Source Sans 3" w:cs="Source Sans 3" w:eastAsia="Source Sans 3" w:hAnsi="Source Sans 3"/>
                <w:sz w:val="20"/>
                <w:szCs w:val="20"/>
              </w:rPr>
              <w:t xml:space="preserve"/>
            </w:r>
          </w:p>
          <w:p>
            <w:r>
              <w:rPr>
                <w:rFonts w:ascii="Source Sans 3" w:cs="Source Sans 3" w:eastAsia="Source Sans 3" w:hAnsi="Source Sans 3"/>
                <w:sz w:val="20"/>
                <w:szCs w:val="20"/>
              </w:rPr>
              <w:t xml:space="preserve"/>
            </w:r>
          </w:p>
        </w:tc>
      </w:tr>
      <w:tr>
        <w:tc>
          <w:tcPr>
            <w:tcW w:type="dxa" w:w="32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b/>
                <w:bCs/>
                <w:color w:val="1C1C1C"/>
                <w:sz w:val="20"/>
                <w:szCs w:val="20"/>
              </w:rPr>
              <w:t xml:space="preserve">Remediation Deadline</w:t>
            </w:r>
          </w:p>
        </w:tc>
        <w:tc>
          <w:tcPr>
            <w:tcW w:type="dxa" w:w="61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i w:val="false"/>
                <w:iCs w:val="false"/>
                <w:color w:val="1C1C1C"/>
                <w:sz w:val="20"/>
                <w:szCs w:val="20"/>
              </w:rPr>
              <w:t xml:space="preserve"/>
            </w:r>
          </w:p>
        </w:tc>
      </w:tr>
      <w:tr>
        <w:tc>
          <w:tcPr>
            <w:tcW w:type="dxa" w:w="32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b/>
                <w:bCs/>
                <w:color w:val="1C1C1C"/>
                <w:sz w:val="20"/>
                <w:szCs w:val="20"/>
              </w:rPr>
              <w:t xml:space="preserve">Payment Holdback (if applicable)</w:t>
            </w:r>
          </w:p>
        </w:tc>
        <w:tc>
          <w:tcPr>
            <w:tcW w:type="dxa" w:w="61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i w:val="false"/>
                <w:iCs w:val="false"/>
                <w:color w:val="1C1C1C"/>
                <w:sz w:val="20"/>
                <w:szCs w:val="20"/>
              </w:rPr>
              <w:t xml:space="preserve"/>
            </w:r>
          </w:p>
        </w:tc>
      </w:tr>
      <w:tr>
        <w:tc>
          <w:tcPr>
            <w:tcW w:type="dxa" w:w="32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b/>
                <w:bCs/>
                <w:color w:val="1C1C1C"/>
                <w:sz w:val="20"/>
                <w:szCs w:val="20"/>
              </w:rPr>
              <w:t xml:space="preserve">Re-Review Scheduled For</w:t>
            </w:r>
          </w:p>
        </w:tc>
        <w:tc>
          <w:tcPr>
            <w:tcW w:type="dxa" w:w="61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i w:val="false"/>
                <w:iCs w:val="false"/>
                <w:color w:val="1C1C1C"/>
                <w:sz w:val="20"/>
                <w:szCs w:val="20"/>
              </w:rPr>
              <w:t xml:space="preserve"/>
            </w:r>
          </w:p>
        </w:tc>
      </w:tr>
    </w:tbl>
    <w:p>
      <w:pPr>
        <w:pStyle w:val="Heading1"/>
      </w:pPr>
      <w:r>
        <w:t xml:space="preserve">Sign-Off</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b/>
                <w:bCs/>
                <w:color w:val="1C1C1C"/>
                <w:sz w:val="20"/>
                <w:szCs w:val="20"/>
              </w:rPr>
              <w:t xml:space="preserve">Reviewer Name</w:t>
            </w:r>
          </w:p>
        </w:tc>
        <w:tc>
          <w:tcPr>
            <w:tcW w:type="dxa" w:w="61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i w:val="false"/>
                <w:iCs w:val="false"/>
                <w:color w:val="1C1C1C"/>
                <w:sz w:val="20"/>
                <w:szCs w:val="20"/>
              </w:rPr>
              <w:t xml:space="preserve"/>
            </w:r>
          </w:p>
        </w:tc>
      </w:tr>
      <w:tr>
        <w:tc>
          <w:tcPr>
            <w:tcW w:type="dxa" w:w="32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b/>
                <w:bCs/>
                <w:color w:val="1C1C1C"/>
                <w:sz w:val="20"/>
                <w:szCs w:val="20"/>
              </w:rPr>
              <w:t xml:space="preserve">Title / Role</w:t>
            </w:r>
          </w:p>
        </w:tc>
        <w:tc>
          <w:tcPr>
            <w:tcW w:type="dxa" w:w="61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i w:val="false"/>
                <w:iCs w:val="false"/>
                <w:color w:val="1C1C1C"/>
                <w:sz w:val="20"/>
                <w:szCs w:val="20"/>
              </w:rPr>
              <w:t xml:space="preserve"/>
            </w:r>
          </w:p>
        </w:tc>
      </w:tr>
      <w:tr>
        <w:tc>
          <w:tcPr>
            <w:tcW w:type="dxa" w:w="32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b/>
                <w:bCs/>
                <w:color w:val="1C1C1C"/>
                <w:sz w:val="20"/>
                <w:szCs w:val="20"/>
              </w:rPr>
              <w:t xml:space="preserve">Signature</w:t>
            </w:r>
          </w:p>
        </w:tc>
        <w:tc>
          <w:tcPr>
            <w:tcW w:type="dxa" w:w="61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i w:val="false"/>
                <w:iCs w:val="false"/>
                <w:color w:val="1C1C1C"/>
                <w:sz w:val="20"/>
                <w:szCs w:val="20"/>
              </w:rPr>
              <w:t xml:space="preserve"/>
            </w:r>
          </w:p>
        </w:tc>
      </w:tr>
      <w:tr>
        <w:tc>
          <w:tcPr>
            <w:tcW w:type="dxa" w:w="3200"/>
            <w:tcBorders>
              <w:top w:val="single" w:color="CCCCCC" w:sz="1"/>
              <w:left w:val="single" w:color="CCCCCC" w:sz="1"/>
              <w:bottom w:val="single" w:color="CCCCCC" w:sz="1"/>
              <w:right w:val="single" w:color="CCCCCC" w:sz="1"/>
            </w:tcBorders>
            <w:shd w:fill="F2F0F0" w:val="clear"/>
            <w:tcMar>
              <w:top w:type="dxa" w:w="60"/>
              <w:left w:type="dxa" w:w="100"/>
              <w:bottom w:type="dxa" w:w="60"/>
              <w:right w:type="dxa" w:w="100"/>
            </w:tcMar>
          </w:tcPr>
          <w:p>
            <w:r>
              <w:rPr>
                <w:rFonts w:ascii="Source Sans 3" w:cs="Source Sans 3" w:eastAsia="Source Sans 3" w:hAnsi="Source Sans 3"/>
                <w:b/>
                <w:bCs/>
                <w:color w:val="1C1C1C"/>
                <w:sz w:val="20"/>
                <w:szCs w:val="20"/>
              </w:rPr>
              <w:t xml:space="preserve">Date</w:t>
            </w:r>
          </w:p>
        </w:tc>
        <w:tc>
          <w:tcPr>
            <w:tcW w:type="dxa" w:w="616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Source Sans 3" w:cs="Source Sans 3" w:eastAsia="Source Sans 3" w:hAnsi="Source Sans 3"/>
                <w:i w:val="false"/>
                <w:iCs w:val="false"/>
                <w:color w:val="1C1C1C"/>
                <w:sz w:val="20"/>
                <w:szCs w:val="20"/>
              </w:rPr>
              <w:t xml:space="preserve"/>
            </w:r>
          </w:p>
        </w:tc>
      </w:tr>
    </w:tbl>
    <w:p>
      <w:pPr>
        <w:pBdr>
          <w:top w:val="single" w:color="8A0F24" w:sz="6" w:space="8"/>
        </w:pBdr>
        <w:spacing w:after="120" w:before="360"/>
      </w:pPr>
    </w:p>
    <w:p>
      <w:pPr>
        <w:spacing w:after="120"/>
      </w:pPr>
      <w:r>
        <w:rPr>
          <w:b/>
          <w:bCs/>
          <w:color w:val="8A0F24"/>
          <w:sz w:val="24"/>
          <w:szCs w:val="24"/>
        </w:rPr>
        <w:t xml:space="preserve">About This Template</w:t>
      </w:r>
    </w:p>
    <w:p>
      <w:pPr>
        <w:spacing w:after="120"/>
      </w:pPr>
      <w:r>
        <w:t xml:space="preserve">This checklist is a companion resource to </w:t>
      </w:r>
      <w:r>
        <w:rPr>
          <w:i/>
          <w:iCs/>
        </w:rPr>
        <w:t xml:space="preserve">Real. Relevant. Required.: A Practitioner’s Guide to ADA Title II Digital Accessibility for State and Local Government</w:t>
      </w:r>
      <w:r>
        <w:t xml:space="preserve"> by Dr. Becky Rehorn, CPACC, CPSM. It pairs with the Accessibility Conformance Statement template and the Sample Procurement Clauses, both available on the book’s companion landing page. Adapt the checklist to your entity’s procurement framework and QA/QC process.</w:t>
      </w:r>
    </w:p>
    <w:p>
      <w:r>
        <w:rPr>
          <w:color w:val="8A0F24"/>
        </w:rPr>
        <w:t xml:space="preserve">becky@accessibleorganizationsgroup.com  |  423.605.0480  |  www.aogaccess.com</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Source Sans 3" w:cs="Source Sans 3" w:eastAsia="Source Sans 3" w:hAnsi="Source Sans 3"/>
        <w:color w:val="54484A"/>
        <w:sz w:val="16"/>
        <w:szCs w:val="16"/>
      </w:rPr>
      <w:t xml:space="preserve">Deliverable Acceptance Checklist  |  </w:t>
    </w:r>
    <w:r>
      <w:rPr>
        <w:rFonts w:ascii="Source Sans 3" w:cs="Source Sans 3" w:eastAsia="Source Sans 3" w:hAnsi="Source Sans 3"/>
        <w:color w:val="54484A"/>
        <w:sz w:val="16"/>
        <w:szCs w:val="16"/>
      </w:rPr>
      <w:t xml:space="preserve">Accessible Organizations Group LLC  |  www.aogaccess.com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ource Sans 3" w:cs="Source Sans 3" w:eastAsia="Source Sans 3" w:hAnsi="Source Sans 3"/>
        <w:color w:val="1C1C1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00"/>
      <w:outlineLvl w:val="0"/>
    </w:pPr>
    <w:rPr>
      <w:rFonts w:ascii="Source Sans 3" w:cs="Source Sans 3" w:eastAsia="Source Sans 3" w:hAnsi="Source Sans 3"/>
      <w:b/>
      <w:bCs/>
      <w:color w:val="8A0F24"/>
      <w:sz w:val="28"/>
      <w:szCs w:val="28"/>
    </w:rPr>
  </w:style>
  <w:style w:type="paragraph" w:styleId="Heading2">
    <w:name w:val="Heading 2"/>
    <w:basedOn w:val="Normal"/>
    <w:next w:val="Normal"/>
    <w:qFormat/>
    <w:pPr>
      <w:spacing w:after="100" w:before="240"/>
      <w:outlineLvl w:val="1"/>
    </w:pPr>
    <w:rPr>
      <w:rFonts w:ascii="Source Sans 3" w:cs="Source Sans 3" w:eastAsia="Source Sans 3" w:hAnsi="Source Sans 3"/>
      <w:b/>
      <w:bCs/>
      <w:color w:val="8A0F24"/>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2026-04-21T14:25:24.516Z</dcterms:created>
  <dcterms:modified xsi:type="dcterms:W3CDTF">2026-04-21T14:25:24.537Z</dcterms:modified>
</cp:coreProperties>
</file>

<file path=docProps/custom.xml><?xml version="1.0" encoding="utf-8"?>
<Properties xmlns="http://schemas.openxmlformats.org/officeDocument/2006/custom-properties" xmlns:vt="http://schemas.openxmlformats.org/officeDocument/2006/docPropsVTypes"/>
</file>